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xml" ContentType="application/vnd.openxmlformats-officedocument.wordprocessingml.footer+xml"/>
  <Override PartName="/word/header.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w:pPr>
        <w:pStyle w:val="Title"/>
        <w:keepNext/>
        <w:spacing w:after="160"/>
        <w:jc w:val="left"/>
      </w:pPr>
      <w:r>
        <w:rPr>
          <w:rFonts w:ascii="Arial" w:hAnsi="Arial"/>
          <w:b/>
          <w:color w:val="550060"/>
          <w:sz w:val="40"/>
        </w:rPr>
        <w:t>Einseitige Unternehmensbeschreibung der contentkueche GmbH</w:t>
      </w:r>
    </w:p>
    <w:p>
      <w:pPr>
        <w:pStyle w:val="Heading1"/>
        <w:keepNext/>
        <w:spacing w:before="200" w:after="120"/>
      </w:pPr>
      <w:r>
        <w:rPr>
          <w:rFonts w:ascii="Arial" w:hAnsi="Arial"/>
          <w:b/>
          <w:color w:val="550060"/>
          <w:sz w:val="28"/>
        </w:rPr>
        <w:t>1. Unternehmensprofil und Struktur</w:t>
      </w:r>
    </w:p>
    <w:p>
      <w:r>
        <w:rPr>
          <w:rFonts w:ascii="Arial" w:hAnsi="Arial"/>
          <w:b w:val="0"/>
        </w:rPr>
        <w:t>contentkueche GmbH ist eine Münchner Medien- und Content-Marketing-Agentur. Die Agentur verbindet Strategie, Redaktion, Video- und Animationsproduktion, Gestaltung, Postproduktion und Social-Content-Steuerung in einem kompakten, direkt steuerbaren Agenturmodell. Sitz der Gesellschaft ist München; die Geschäftsführung liegt bei Nadine Meyer.</w:t>
      </w:r>
    </w:p>
    <w:p>
      <w:r>
        <w:rPr>
          <w:rFonts w:ascii="Arial" w:hAnsi="Arial"/>
          <w:b w:val="0"/>
        </w:rPr>
        <w:t>Für den Rahmenvertrag Animationsvideos steht die verständliche visuelle Aufbereitung politischer Bildungsthemen im Mittelpunkt. Inhalte wie die Landtagswahl 2027 werden als mobile Kurzformate im Hochformat 9:16 konzipiert: klar strukturiert, text- und grafikgeführt, ohne Sprecheranteil, mit präziser Dramaturgie für circa einminütige Laufzeiten und unter Berücksichtigung barrierearmer Ausspielung nach BITV-2.0-Anforderungen.</w:t>
      </w:r>
    </w:p>
    <w:p>
      <w:pPr>
        <w:pStyle w:val="Heading1"/>
        <w:keepNext/>
        <w:spacing w:before="200" w:after="120"/>
      </w:pPr>
      <w:r>
        <w:rPr>
          <w:rFonts w:ascii="Arial" w:hAnsi="Arial"/>
          <w:b/>
          <w:color w:val="550060"/>
          <w:sz w:val="28"/>
        </w:rPr>
        <w:t>2. Hauptsächliche Tätigkeitsfelder mit Auftragsbezug</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Tätigkeitsfeld</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Rolle im Verfahren</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Erfahrung / Nachweis im Leistungsbild</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Strategie und Redaktion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Übersetzung komplexer Inhalte in verständliche Storylines</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Strukturierung politischer, gesellschaftlicher und erklärungsbedürftiger Themen für digitale Zielgruppen</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Storyboard und Styleframes</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Entwicklung der visuellen Erzählung vor Produktionsstart</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Verdichtung von Botschaft, Textlogik, Bildsprache, Szenenaufbau und Timing für kurze Social-Video-Formate</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Animation und Postproduktion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Umsetzung von Grafik, Typografie, Motion Design, Schnitt und Exportformaten</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Produktion ausspielungsfähiger Hochformat-Videos mit konsistenter Gestaltung, Textführung und technischer Qualitätskontrolle</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Projektmanagement</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Steuerung von Briefing, Terminplan, Feedbackschleifen und Abnahmen</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Transparente Abläufe für Rahmenvertragsabrufe, nachvollziehbare Aufwandsteuerung und dokumentierte Abstimmungen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Barrierearme Social-Aufbereitung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Lesbare Textflächen, klare Kontraste, Untertitel-/Textlogik und mobile Nutzbarkeit</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Aufbereitung für kurze, verständliche Informationsformate ohne Sprechertext und ohne Variantenproduktion</w:t>
            </w:r>
          </w:p>
        </w:tc>
      </w:tr>
    </w:tbl>
    <w:p>
      <w:pPr>
        <w:pStyle w:val="Heading1"/>
        <w:keepNext/>
        <w:spacing w:before="200" w:after="120"/>
      </w:pPr>
      <w:r>
        <w:rPr>
          <w:rFonts w:ascii="Arial" w:hAnsi="Arial"/>
          <w:b/>
          <w:color w:val="550060"/>
          <w:sz w:val="28"/>
        </w:rPr>
        <w:t>3. Rollenmodell und fachliche Leistungsfähigkeit</w:t>
      </w:r>
    </w:p>
    <w:p>
      <w:r>
        <w:rPr>
          <w:rFonts w:ascii="Arial" w:hAnsi="Arial"/>
          <w:b w:val="0"/>
        </w:rPr>
        <w:t>Die Leistungserbringung ist als interne Agenturleistung ohne Unterauftragnehmer angelegt. contentkueche bündelt dafür Strategie, Redaktion, Projektsteuerung, Kreation und Produktion in einem festen Rollenmodell. Detaillierte Profile der vorgesehenen Mitarbeitenden ergänzen den Nachweis der Eignung in der separaten Profileigenerklärung.</w:t>
      </w:r>
    </w:p>
    <w:tbl>
      <w:tblPr>
        <w:tblStyle w:val="TableGrid"/>
        <w:tblW w:type="dxa" w:w="9360"/>
        <w:jc w:val="left"/>
        <w:tblLayout w:type="fixed"/>
        <w:tblLook w:firstColumn="1" w:firstRow="1" w:lastColumn="0" w:lastRow="0" w:noHBand="0" w:noVBand="1" w:val="04A0"/>
        <w:tblInd w:w="0" w:type="dxa"/>
      </w:tblPr>
      <w:tblGrid>
        <w:gridCol w:w="1900"/>
        <w:gridCol w:w="3200"/>
        <w:gridCol w:w="4260"/>
      </w:tblGrid>
      <w:tr>
        <w:tc>
          <w:tcPr>
            <w:tcW w:type="dxa" w:w="1900"/>
            <w:vAlign w:val="top"/>
            <w:tcMar>
              <w:top w:w="120" w:type="dxa"/>
              <w:start w:w="130" w:type="dxa"/>
              <w:bottom w:w="120" w:type="dxa"/>
              <w:end w:w="130" w:type="dxa"/>
            </w:tcMar>
            <w:shd w:fill="550060"/>
          </w:tcPr>
          <w:p>
            <w:pPr>
              <w:spacing w:after="60" w:line="252" w:lineRule="auto"/>
            </w:pPr>
            <w:r>
              <w:rPr>
                <w:rFonts w:ascii="Arial" w:hAnsi="Arial"/>
                <w:b/>
                <w:color w:val="FFFFFF"/>
                <w:sz w:val="19"/>
              </w:rPr>
              <w:t>Kernrolle</w:t>
            </w:r>
          </w:p>
        </w:tc>
        <w:tc>
          <w:tcPr>
            <w:tcW w:type="dxa" w:w="3200"/>
            <w:vAlign w:val="top"/>
            <w:tcMar>
              <w:top w:w="120" w:type="dxa"/>
              <w:start w:w="130" w:type="dxa"/>
              <w:bottom w:w="120" w:type="dxa"/>
              <w:end w:w="130" w:type="dxa"/>
            </w:tcMar>
            <w:shd w:fill="550060"/>
          </w:tcPr>
          <w:p>
            <w:pPr>
              <w:spacing w:after="60" w:line="252" w:lineRule="auto"/>
            </w:pPr>
            <w:r>
              <w:rPr>
                <w:rFonts w:ascii="Arial" w:hAnsi="Arial"/>
                <w:b/>
                <w:color w:val="FFFFFF"/>
                <w:sz w:val="19"/>
              </w:rPr>
              <w:t>Person</w:t>
            </w:r>
          </w:p>
        </w:tc>
        <w:tc>
          <w:tcPr>
            <w:tcW w:type="dxa" w:w="4260"/>
            <w:vAlign w:val="top"/>
            <w:tcMar>
              <w:top w:w="120" w:type="dxa"/>
              <w:start w:w="130" w:type="dxa"/>
              <w:bottom w:w="120" w:type="dxa"/>
              <w:end w:w="130" w:type="dxa"/>
            </w:tcMar>
            <w:shd w:fill="550060"/>
          </w:tcPr>
          <w:p>
            <w:pPr>
              <w:spacing w:after="60" w:line="252" w:lineRule="auto"/>
            </w:pPr>
            <w:r>
              <w:rPr>
                <w:rFonts w:ascii="Arial" w:hAnsi="Arial"/>
                <w:b/>
                <w:color w:val="FFFFFF"/>
                <w:sz w:val="19"/>
              </w:rPr>
              <w:t>Beitrag zur fachlichen Leistungsfähigkeit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Geschäftsführung und organisatorische Verantwortung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Nadine Meyer</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Steuerung auf Geschäftsführungsebene, organisatorische Sicherheit, Teamführung, Projektmanagement- und Controlling-Erfahrung</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Operative Leitung und Beratung</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Constantin Duge</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Strategische Projektführung, Qualitätssicherung, Konzept- und Angebotssteuerung, operative Eskalationsfähigkeit</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Projektmanagement und Prozesssteuerung</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Sarah Loderer</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Planung transparenter Abläufe, Budget- und Prozesssicherheit, Koordination von Briefings, Timings und Abrechnungslogik</w:t>
            </w:r>
          </w:p>
        </w:tc>
      </w:tr>
      <w:tr>
        <w:tc>
          <w:tcPr>
            <w:tcW w:type="dxa" w:w="19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 Tools und Workflows</w:t>
            </w:r>
          </w:p>
        </w:tc>
        <w:tc>
          <w:tcPr>
            <w:tcW w:type="dxa" w:w="3200"/>
            <w:vAlign w:val="top"/>
            <w:tcMar>
              <w:top w:w="120" w:type="dxa"/>
              <w:start w:w="130" w:type="dxa"/>
              <w:bottom w:w="120" w:type="dxa"/>
              <w:end w:w="130" w:type="dxa"/>
            </w:tcMar>
            <w:shd w:fill="F5F0F2"/>
          </w:tcPr>
          <w:p>
            <w:pPr>
              <w:spacing w:after="60" w:line="252" w:lineRule="auto"/>
            </w:pPr>
            <w:r>
              <w:rPr>
                <w:rFonts w:ascii="Arial" w:hAnsi="Arial"/>
                <w:b w:val="0"/>
                <w:color w:val="3B3B3B"/>
                <w:sz w:val="19"/>
              </w:rPr>
              <w:t>Julius Froehlich</w:t>
            </w:r>
          </w:p>
        </w:tc>
        <w:tc>
          <w:tcPr>
            <w:tcW w:type="dxa" w:w="4260"/>
            <w:vAlign w:val="top"/>
            <w:tcMar>
              <w:top w:w="120" w:type="dxa"/>
              <w:start w:w="130" w:type="dxa"/>
              <w:bottom w:w="120" w:type="dxa"/>
              <w:end w:w="130" w:type="dxa"/>
            </w:tcMar>
            <w:shd w:fill="F5F0F2"/>
          </w:tcPr>
          <w:p>
            <w:pPr>
              <w:spacing w:after="60" w:line="252" w:lineRule="auto"/>
            </w:pPr>
            <w:r>
              <w:rPr>
                <w:rFonts w:ascii="Arial" w:hAnsi="Arial"/>
                <w:b w:val="0"/>
                <w:color w:val="3B3B3B"/>
                <w:sz w:val="19"/>
              </w:rPr>
              <w:t>Produktionsnahe Steuerung, digitale Workflows, technische Umsetzungssicherheit und Schnittstellen zu Animation und Postproduktion</w:t>
            </w:r>
          </w:p>
        </w:tc>
      </w:tr>
      <w:tr>
        <w:tc>
          <w:tcPr>
            <w:tcW w:type="dxa" w:w="19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Content-Strategie und Redaktion</w:t>
            </w:r>
          </w:p>
        </w:tc>
        <w:tc>
          <w:tcPr>
            <w:tcW w:type="dxa" w:w="3200"/>
            <w:vAlign w:val="top"/>
            <w:tcMar>
              <w:top w:w="120" w:type="dxa"/>
              <w:start w:w="130" w:type="dxa"/>
              <w:bottom w:w="120" w:type="dxa"/>
              <w:end w:w="130" w:type="dxa"/>
            </w:tcMar>
            <w:shd w:fill="FFFBF5"/>
          </w:tcPr>
          <w:p>
            <w:pPr>
              <w:spacing w:after="60" w:line="252" w:lineRule="auto"/>
            </w:pPr>
            <w:r>
              <w:rPr>
                <w:rFonts w:ascii="Arial" w:hAnsi="Arial"/>
                <w:b w:val="0"/>
                <w:color w:val="3B3B3B"/>
                <w:sz w:val="19"/>
              </w:rPr>
              <w:t>Marlene Mackinger</w:t>
            </w:r>
          </w:p>
        </w:tc>
        <w:tc>
          <w:tcPr>
            <w:tcW w:type="dxa" w:w="4260"/>
            <w:vAlign w:val="top"/>
            <w:tcMar>
              <w:top w:w="120" w:type="dxa"/>
              <w:start w:w="130" w:type="dxa"/>
              <w:bottom w:w="120" w:type="dxa"/>
              <w:end w:w="130" w:type="dxa"/>
            </w:tcMar>
            <w:shd w:fill="FFFBF5"/>
          </w:tcPr>
          <w:p>
            <w:pPr>
              <w:spacing w:after="60" w:line="252" w:lineRule="auto"/>
            </w:pPr>
            <w:r>
              <w:rPr>
                <w:rFonts w:ascii="Arial" w:hAnsi="Arial"/>
                <w:b w:val="0"/>
                <w:color w:val="3B3B3B"/>
                <w:sz w:val="19"/>
              </w:rPr>
              <w:t>Entwicklung klarer Text- und Storylogiken, redaktionelle Verdichtung und zielgruppengerechte Aufbereitung komplexer Inhalte</w:t>
            </w:r>
          </w:p>
        </w:tc>
      </w:tr>
    </w:tbl>
    <w:p>
      <w:pPr>
        <w:pStyle w:val="Heading1"/>
        <w:keepNext/>
        <w:spacing w:before="200" w:after="120"/>
      </w:pPr>
      <w:r>
        <w:rPr>
          <w:rFonts w:ascii="Arial" w:hAnsi="Arial"/>
          <w:b/>
          <w:color w:val="550060"/>
          <w:sz w:val="28"/>
        </w:rPr>
        <w:t>4. Wirtschaftliche und organisatorische Leistungsfähigkeit</w:t>
      </w:r>
    </w:p>
    <w:p>
      <w:r>
        <w:rPr>
          <w:rFonts w:ascii="Arial" w:hAnsi="Arial"/>
          <w:b w:val="0"/>
        </w:rPr>
        <w:t>contentkueche arbeitet als GmbH mit zentraler kaufmännischer Steuerung, internen Verantwortlichkeiten und etablierten Projektprozessen. Rahmenvertragsabrufe können modular geführt werden: Briefing, Konzept, Storyboard, Styleframe, Animation, Korrekturschleife, technische Ausgabe und Übergabe der finalen Dateien.</w:t>
      </w:r>
    </w:p>
    <w:p>
      <w:r>
        <w:rPr>
          <w:rFonts w:ascii="Arial" w:hAnsi="Arial"/>
          <w:b w:val="0"/>
        </w:rPr>
        <w:t>Diese Struktur unterstützt eine budgetorientierte Planung über mehrere Abrufe hinweg. Leistungen werden in klar abgegrenzten Produktionsschritten geplant, intern gesteuert und qualitätsgesichert. Für den ausgeschriebenen Rahmenvertrag ist damit eine sachliche, schlanke und auf wiederholbare Animationsvideo-Produktion ausgerichtete Unternehmensstruktur vorhanden.</w:t>
      </w:r>
    </w:p>
    <w:sectPr>
      <w:pgSz w:w="11909" w:h="16834" w:orient="portrait"/>
      <w:pgMar w:top="1080" w:right="1080" w:bottom="1080" w:left="1080" w:header="720" w:footer="720" w:gutter="0"/>
      <w:cols w:space="720"/>
      <w:docGrid w:linePitch="360"/>
      <w:headerReference w:type="default" r:id="R0ef492e97ac34c53"/>
      <w:footerReference w:type="default" r:id="R1e5de986372b44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B1D3F" w:rsidTr="1B5B1D3F" w14:paraId="23B9E935">
      <w:trPr>
        <w:trHeight w:val="300"/>
      </w:trPr>
      <w:tc>
        <w:tcPr>
          <w:tcW w:w="3005" w:type="dxa"/>
          <w:tcMar/>
        </w:tcPr>
        <w:p w:rsidR="1B5B1D3F" w:rsidP="1B5B1D3F" w:rsidRDefault="1B5B1D3F" w14:paraId="5CBCB70D" w14:textId="4841726E">
          <w:pPr>
            <w:pStyle w:val="Header"/>
            <w:bidi w:val="0"/>
            <w:ind w:left="-115"/>
            <w:jc w:val="left"/>
          </w:pPr>
        </w:p>
      </w:tc>
      <w:tc>
        <w:tcPr>
          <w:tcW w:w="3005" w:type="dxa"/>
          <w:tcMar/>
        </w:tcPr>
        <w:p w:rsidR="1B5B1D3F" w:rsidP="1B5B1D3F" w:rsidRDefault="1B5B1D3F" w14:paraId="1A883A86" w14:textId="193310AA">
          <w:pPr>
            <w:pStyle w:val="Header"/>
            <w:bidi w:val="0"/>
            <w:jc w:val="center"/>
          </w:pPr>
        </w:p>
      </w:tc>
      <w:tc>
        <w:tcPr>
          <w:tcW w:w="3005" w:type="dxa"/>
          <w:tcMar/>
        </w:tcPr>
        <w:p w:rsidR="1B5B1D3F" w:rsidP="1B5B1D3F" w:rsidRDefault="1B5B1D3F" w14:paraId="6538319C" w14:textId="1EF0FE94">
          <w:pPr>
            <w:pStyle w:val="Header"/>
            <w:bidi w:val="0"/>
            <w:ind w:right="-115"/>
            <w:jc w:val="right"/>
          </w:pPr>
        </w:p>
      </w:tc>
    </w:tr>
  </w:tbl>
  <w:p w:rsidR="1B5B1D3F" w:rsidP="1B5B1D3F" w:rsidRDefault="1B5B1D3F" w14:paraId="1B3C13F9" w14:textId="2131C18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B1D3F" w:rsidP="1B5B1D3F" w:rsidRDefault="1B5B1D3F" w14:paraId="1B04A1FC" w14:textId="6A71372B">
    <w:pPr>
      <w:bidi w:val="0"/>
      <w:spacing w:after="0" w:line="24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r w:rsidR="1B5B1D3F">
      <w:drawing>
        <wp:inline wp14:editId="3B5CDE30" wp14:anchorId="0E6E1853">
          <wp:extent cx="3657600" cy="571500"/>
          <wp:effectExtent l="0" t="0" r="0" b="0"/>
          <wp:docPr id="455476434" name="" title=""/>
          <wp:cNvGraphicFramePr>
            <a:graphicFrameLocks noChangeAspect="1"/>
          </wp:cNvGraphicFramePr>
          <a:graphic>
            <a:graphicData uri="http://schemas.openxmlformats.org/drawingml/2006/picture">
              <pic:pic>
                <pic:nvPicPr>
                  <pic:cNvPr id="0" name=""/>
                  <pic:cNvPicPr/>
                </pic:nvPicPr>
                <pic:blipFill>
                  <a:blip r:embed="R969f2bbaa2f3475c">
                    <a:extLst>
                      <a:ext xmlns:a="http://schemas.openxmlformats.org/drawingml/2006/main" uri="{28A0092B-C50C-407E-A947-70E740481C1C}">
                        <a14:useLocalDpi val="0"/>
                      </a:ext>
                    </a:extLst>
                  </a:blip>
                  <a:stretch>
                    <a:fillRect/>
                  </a:stretch>
                </pic:blipFill>
                <pic:spPr>
                  <a:xfrm>
                    <a:off x="0" y="0"/>
                    <a:ext cx="3657600" cy="571500"/>
                  </a:xfrm>
                  <a:prstGeom prst="rect">
                    <a:avLst/>
                  </a:prstGeom>
                </pic:spPr>
              </pic:pic>
            </a:graphicData>
          </a:graphic>
        </wp:inline>
      </w:drawing>
    </w:r>
  </w:p>
  <w:p w:rsidR="1B5B1D3F" w:rsidP="1B5B1D3F" w:rsidRDefault="1B5B1D3F" w14:paraId="43D23DB2" w14:textId="39C339D0">
    <w:pPr>
      <w:bidi w:val="0"/>
      <w:spacing w:after="0" w:line="240" w:lineRule="auto"/>
      <w:jc w:val="center"/>
      <w:rPr>
        <w:rFonts w:ascii="Arial" w:hAnsi="Arial" w:eastAsia="Arial" w:cs="Arial"/>
        <w:b w:val="0"/>
        <w:bCs w:val="0"/>
        <w:i w:val="0"/>
        <w:iCs w:val="0"/>
        <w:caps w:val="0"/>
        <w:smallCaps w:val="0"/>
        <w:noProof w:val="0"/>
        <w:color w:val="000000" w:themeColor="text1" w:themeTint="FF" w:themeShade="FF"/>
        <w:sz w:val="19"/>
        <w:szCs w:val="19"/>
        <w:lang w:val="de-DE"/>
      </w:rPr>
    </w:pPr>
    <w:r w:rsidRPr="1B5B1D3F" w:rsidR="1B5B1D3F">
      <w:rPr>
        <w:rFonts w:ascii="Arial" w:hAnsi="Arial" w:eastAsia="Arial" w:cs="Arial"/>
        <w:b w:val="0"/>
        <w:bCs w:val="0"/>
        <w:i w:val="0"/>
        <w:iCs w:val="0"/>
        <w:caps w:val="0"/>
        <w:smallCaps w:val="0"/>
        <w:noProof w:val="0"/>
        <w:color w:val="000000" w:themeColor="text1" w:themeTint="FF" w:themeShade="FF"/>
        <w:sz w:val="19"/>
        <w:szCs w:val="19"/>
        <w:lang w:val="de-DE"/>
      </w:rPr>
      <w:t>CONTENTKUECHE GMBH HERZOGSTRASSE 64 80803 MÜNCHEN­­­</w:t>
    </w:r>
  </w:p>
  <w:p w:rsidR="1B5B1D3F" w:rsidP="1B5B1D3F" w:rsidRDefault="1B5B1D3F" w14:paraId="74AAE62E" w14:textId="26F75517">
    <w:pPr>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4CC76935" w14:textId="1FDC461D">
    <w:pPr>
      <w:tabs>
        <w:tab w:val="center" w:leader="none" w:pos="4680"/>
        <w:tab w:val="right" w:leader="none" w:pos="9360"/>
      </w:tabs>
      <w:bidi w:val="0"/>
      <w:spacing w:after="0" w:line="240" w:lineRule="auto"/>
      <w:ind w:left="-1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6CA0E7CB" w14:textId="6C5E8986">
    <w:pPr>
      <w:tabs>
        <w:tab w:val="center" w:leader="none" w:pos="4680"/>
        <w:tab w:val="right" w:leader="none" w:pos="9360"/>
      </w:tabs>
      <w:bidi w:val="0"/>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de-DE"/>
      </w:rPr>
    </w:pPr>
  </w:p>
  <w:p w:rsidR="1B5B1D3F" w:rsidP="1B5B1D3F" w:rsidRDefault="1B5B1D3F" w14:paraId="705EEB78" w14:textId="11A3A6BF">
    <w:pPr>
      <w:pStyle w:val="Header"/>
      <w:bidi w:val="0"/>
    </w:pPr>
  </w:p>
</w:hdr>
</file>

<file path=word/numbering.xml><?xml version="1.0" encoding="utf-8"?>
<w:numbering xmlns:w="http://schemas.openxmlformats.org/wordprocessingml/2006/main">
  <w:abstractNum xmlns:w="http://schemas.openxmlformats.org/wordprocessingml/2006/main" w:abstractNumId="10">
    <w:nsid w:val="c743e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ec934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64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acfa1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4f57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dfed0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4a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62a72f"/>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Wingdings" w:hAnsi="Wingdings"/>
      </w:rPr>
    </w:lvl>
    <w:lvl xmlns:w="http://schemas.openxmlformats.org/wordprocessingml/2006/main" w:ilvl="1">
      <w:start w:val="1"/>
      <w:numFmt w:val="bullet"/>
      <w:lvlText w:val=""/>
      <w:lvlJc w:val="left"/>
      <w:pPr>
        <w:ind w:left="1788" w:hanging="360"/>
      </w:pPr>
      <w:rPr>
        <w:rFonts w:hint="default" w:ascii="Wingdings" w:hAnsi="Wingdings"/>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Wingdings" w:hAnsi="Wingdings"/>
      </w:rPr>
    </w:lvl>
    <w:lvl xmlns:w="http://schemas.openxmlformats.org/wordprocessingml/2006/main" w:ilvl="4">
      <w:start w:val="1"/>
      <w:numFmt w:val="bullet"/>
      <w:lvlText w:val=""/>
      <w:lvlJc w:val="left"/>
      <w:pPr>
        <w:ind w:left="3948" w:hanging="360"/>
      </w:pPr>
      <w:rPr>
        <w:rFonts w:hint="default" w:ascii="Wingdings" w:hAnsi="Wingdings"/>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Wingdings" w:hAnsi="Wingdings"/>
      </w:rPr>
    </w:lvl>
    <w:lvl xmlns:w="http://schemas.openxmlformats.org/wordprocessingml/2006/main" w:ilvl="7">
      <w:start w:val="1"/>
      <w:numFmt w:val="bullet"/>
      <w:lvlText w:val=""/>
      <w:lvlJc w:val="left"/>
      <w:pPr>
        <w:ind w:left="6108" w:hanging="360"/>
      </w:pPr>
      <w:rPr>
        <w:rFonts w:hint="default" w:ascii="Wingdings" w:hAnsi="Wingdings"/>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2">
    <w:nsid w:val="5a018cb4"/>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Aptos" w:hAnsi="Aptos"/>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
    <w:nsid w:val="6c8b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B1D3C"/>
    <w:rsid w:val="002F3C9D"/>
    <w:rsid w:val="00722973"/>
    <w:rsid w:val="00F33E8D"/>
    <w:rsid w:val="019AE502"/>
    <w:rsid w:val="01BF6C7C"/>
    <w:rsid w:val="02B465B5"/>
    <w:rsid w:val="035C6A7B"/>
    <w:rsid w:val="0370A3FD"/>
    <w:rsid w:val="040783B7"/>
    <w:rsid w:val="0539761B"/>
    <w:rsid w:val="05819290"/>
    <w:rsid w:val="05CAD516"/>
    <w:rsid w:val="067FFB18"/>
    <w:rsid w:val="07E30A4B"/>
    <w:rsid w:val="07E5B80C"/>
    <w:rsid w:val="07EC5233"/>
    <w:rsid w:val="092B503C"/>
    <w:rsid w:val="09A43C94"/>
    <w:rsid w:val="0A224179"/>
    <w:rsid w:val="0B1DC1E2"/>
    <w:rsid w:val="0B201DA5"/>
    <w:rsid w:val="0BE13B5B"/>
    <w:rsid w:val="0BEEA654"/>
    <w:rsid w:val="0EDF157C"/>
    <w:rsid w:val="101BD140"/>
    <w:rsid w:val="107F7E6D"/>
    <w:rsid w:val="111C3D8F"/>
    <w:rsid w:val="1181C198"/>
    <w:rsid w:val="141BA49F"/>
    <w:rsid w:val="14B6073B"/>
    <w:rsid w:val="14EB4A9B"/>
    <w:rsid w:val="15F3E892"/>
    <w:rsid w:val="16EECC0F"/>
    <w:rsid w:val="18241936"/>
    <w:rsid w:val="1832DAA1"/>
    <w:rsid w:val="18DC11DD"/>
    <w:rsid w:val="196DFCC5"/>
    <w:rsid w:val="19B3696C"/>
    <w:rsid w:val="1A02A262"/>
    <w:rsid w:val="1A7DDD73"/>
    <w:rsid w:val="1B0862B4"/>
    <w:rsid w:val="1B22D5ED"/>
    <w:rsid w:val="1B5B1D3F"/>
    <w:rsid w:val="1BE38CB5"/>
    <w:rsid w:val="1D3F0C06"/>
    <w:rsid w:val="1FA670B3"/>
    <w:rsid w:val="20B27B4E"/>
    <w:rsid w:val="2137D2B4"/>
    <w:rsid w:val="219B1D3C"/>
    <w:rsid w:val="227C7298"/>
    <w:rsid w:val="228A3A09"/>
    <w:rsid w:val="235A9A22"/>
    <w:rsid w:val="24CC8410"/>
    <w:rsid w:val="26002996"/>
    <w:rsid w:val="26D20BFC"/>
    <w:rsid w:val="27053B35"/>
    <w:rsid w:val="27085710"/>
    <w:rsid w:val="27A8BFF5"/>
    <w:rsid w:val="28CA1A32"/>
    <w:rsid w:val="2B66BAA6"/>
    <w:rsid w:val="2B7702DC"/>
    <w:rsid w:val="2C154158"/>
    <w:rsid w:val="2C232603"/>
    <w:rsid w:val="2EDB0A52"/>
    <w:rsid w:val="3005C566"/>
    <w:rsid w:val="30A5CD49"/>
    <w:rsid w:val="30E698EB"/>
    <w:rsid w:val="339BCD4F"/>
    <w:rsid w:val="34268B9C"/>
    <w:rsid w:val="34B17B34"/>
    <w:rsid w:val="3516A3A3"/>
    <w:rsid w:val="3530B13E"/>
    <w:rsid w:val="35B7C8B7"/>
    <w:rsid w:val="35E63F5F"/>
    <w:rsid w:val="368F3252"/>
    <w:rsid w:val="36A06AD2"/>
    <w:rsid w:val="36FBB565"/>
    <w:rsid w:val="378DCAC6"/>
    <w:rsid w:val="38C86BA7"/>
    <w:rsid w:val="3905FCF5"/>
    <w:rsid w:val="3A0E64B2"/>
    <w:rsid w:val="3A9A3065"/>
    <w:rsid w:val="3ADB6AEC"/>
    <w:rsid w:val="3C554361"/>
    <w:rsid w:val="3EEEA96E"/>
    <w:rsid w:val="3F59D754"/>
    <w:rsid w:val="428FD0A3"/>
    <w:rsid w:val="4401160E"/>
    <w:rsid w:val="442FDE6A"/>
    <w:rsid w:val="45985B11"/>
    <w:rsid w:val="45AEC81D"/>
    <w:rsid w:val="45EF20EB"/>
    <w:rsid w:val="47F0C47A"/>
    <w:rsid w:val="484BC00B"/>
    <w:rsid w:val="48AE32CC"/>
    <w:rsid w:val="48DFAA6E"/>
    <w:rsid w:val="48FA8D32"/>
    <w:rsid w:val="490C4199"/>
    <w:rsid w:val="497E6D99"/>
    <w:rsid w:val="4A08C82A"/>
    <w:rsid w:val="4C31E5C4"/>
    <w:rsid w:val="4C837BDF"/>
    <w:rsid w:val="4CC1BD43"/>
    <w:rsid w:val="4CE4F6DF"/>
    <w:rsid w:val="4E5B20E0"/>
    <w:rsid w:val="4EE7587C"/>
    <w:rsid w:val="5035FBA0"/>
    <w:rsid w:val="50EA1F38"/>
    <w:rsid w:val="52ACBD63"/>
    <w:rsid w:val="5372843D"/>
    <w:rsid w:val="55186A1C"/>
    <w:rsid w:val="55D0EFBC"/>
    <w:rsid w:val="560CECA0"/>
    <w:rsid w:val="56143246"/>
    <w:rsid w:val="5631BFAB"/>
    <w:rsid w:val="58D88541"/>
    <w:rsid w:val="5A1574A6"/>
    <w:rsid w:val="5A87A8C1"/>
    <w:rsid w:val="5CC0DA6D"/>
    <w:rsid w:val="5D126851"/>
    <w:rsid w:val="61E96314"/>
    <w:rsid w:val="62C997A1"/>
    <w:rsid w:val="6445284C"/>
    <w:rsid w:val="64593BF7"/>
    <w:rsid w:val="658BE53F"/>
    <w:rsid w:val="65C309E2"/>
    <w:rsid w:val="65F3174A"/>
    <w:rsid w:val="6675A7A8"/>
    <w:rsid w:val="67529F0F"/>
    <w:rsid w:val="67DBF181"/>
    <w:rsid w:val="69A6F1AB"/>
    <w:rsid w:val="6A628CF2"/>
    <w:rsid w:val="6A72EF6A"/>
    <w:rsid w:val="6C27D684"/>
    <w:rsid w:val="6C5235F2"/>
    <w:rsid w:val="6C7460BD"/>
    <w:rsid w:val="6CCDE901"/>
    <w:rsid w:val="6D090513"/>
    <w:rsid w:val="6D5D7310"/>
    <w:rsid w:val="6D788F1F"/>
    <w:rsid w:val="6DFFF6CB"/>
    <w:rsid w:val="6FCD69B2"/>
    <w:rsid w:val="709C7DB3"/>
    <w:rsid w:val="70B63C29"/>
    <w:rsid w:val="70C2B3AA"/>
    <w:rsid w:val="71018705"/>
    <w:rsid w:val="71052883"/>
    <w:rsid w:val="71D92B95"/>
    <w:rsid w:val="71FF8055"/>
    <w:rsid w:val="7359BCB8"/>
    <w:rsid w:val="755308A3"/>
    <w:rsid w:val="75BDAC70"/>
    <w:rsid w:val="75FF2060"/>
    <w:rsid w:val="77D1548B"/>
    <w:rsid w:val="789E1CDA"/>
    <w:rsid w:val="7A5EE70F"/>
    <w:rsid w:val="7B2D8ED5"/>
    <w:rsid w:val="7B734D26"/>
    <w:rsid w:val="7BC54750"/>
    <w:rsid w:val="7C140143"/>
    <w:rsid w:val="7C34DABF"/>
    <w:rsid w:val="7D041E3F"/>
    <w:rsid w:val="7D238ED0"/>
    <w:rsid w:val="7D6B592E"/>
    <w:rsid w:val="7F65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B1D3C"/>
  <w15:chartTrackingRefBased/>
  <w15:docId w15:val="{4A004BA4-9D24-47DB-963B-FAAB8F30DA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80" w:line="288" w:lineRule="auto"/>
    </w:pPr>
    <w:rPr>
      <w:rFonts w:ascii="Arial" w:hAnsi="Arial"/>
      <w:color w:val="3B3B3B"/>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customStyle="1" w:styleId="Title">
    <w:name w:val="Title"/>
    <w:pPr>
      <w:spacing w:after="160"/>
    </w:pPr>
    <w:rPr>
      <w:rFonts w:ascii="Arial" w:hAnsi="Arial"/>
      <w:b/>
      <w:color w:val="550060"/>
      <w:sz w:val="40"/>
    </w:rPr>
  </w:style>
  <w:style w:type="paragraph" w:customStyle="1" w:styleId="Subtitle">
    <w:name w:val="Subtitle"/>
    <w:rPr>
      <w:rFonts w:ascii="Arial" w:hAnsi="Arial"/>
      <w:color w:val="707070"/>
      <w:sz w:val="22"/>
    </w:rPr>
  </w:style>
  <w:style w:type="paragraph" w:customStyle="1" w:styleId="Heading1">
    <w:name w:val="heading 1"/>
    <w:pPr>
      <w:keepNext/>
      <w:spacing w:before="200" w:after="120"/>
    </w:pPr>
    <w:rPr>
      <w:rFonts w:ascii="Arial" w:hAnsi="Arial"/>
      <w:b/>
      <w:color w:val="550060"/>
      <w:sz w:val="28"/>
    </w:rPr>
  </w:style>
  <w:style w:type="paragraph" w:customStyle="1" w:styleId="Heading2">
    <w:name w:val="heading 2"/>
    <w:pPr>
      <w:keepNext/>
      <w:spacing w:before="160" w:after="80"/>
    </w:pPr>
    <w:rPr>
      <w:rFonts w:ascii="Arial" w:hAnsi="Arial"/>
      <w:b/>
      <w:color w:val="C60A7B"/>
      <w:sz w:val="24"/>
    </w:rPr>
  </w:style>
  <w:style w:type="paragraph" w:customStyle="1" w:styleId="Heading3">
    <w:name w:val="heading 3"/>
    <w:pPr>
      <w:keepNext/>
      <w:spacing w:before="120" w:after="60"/>
    </w:pPr>
    <w:rPr>
      <w:rFonts w:ascii="Arial" w:hAnsi="Arial"/>
      <w:b/>
      <w:color w:val="3B3B3B"/>
      <w:sz w:val="22"/>
    </w:rPr>
  </w:style>
  <w:style w:type="paragraph" w:customStyle="1" w:styleId="ListBullet">
    <w:name w:val="List Bullet"/>
    <w:pPr>
      <w:spacing w:after="40" w:line="276" w:lineRule="auto"/>
    </w:pPr>
    <w:rPr>
      <w:rFonts w:ascii="Arial" w:hAnsi="Arial"/>
      <w:sz w:val="21"/>
    </w:rPr>
  </w:style>
  <w:style w:type="paragraph" w:customStyle="1" w:styleId="ListNumber">
    <w:name w:val="List Number"/>
    <w:pPr>
      <w:spacing w:after="40" w:line="276"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0ef492e97ac34c53" Type="http://schemas.openxmlformats.org/officeDocument/2006/relationships/header" Target="header.xml"/><Relationship Id="R1e5de986372b4433" Type="http://schemas.openxmlformats.org/officeDocument/2006/relationships/footer" Target="footer.xml"/><Relationship Id="R867b28c5a9cd48bf" Type="http://schemas.openxmlformats.org/officeDocument/2006/relationships/numbering" Target="numbering.xml"/><Relationship Id="R9565828c7fb54d06"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1554e5f296e542d2" Type="http://schemas.openxmlformats.org/officeDocument/2006/relationships/hyperlink" Target="https://contentkueche-my.sharepoint.com/:w:/g/personal/sarah_loderer_contentkueche_de/EVpebpao1utAg5DrZ-RUwxQB0t7AqI82EnjaqAhwtro_fA?wdOrigin=TEAMS-MAGLEV.p2p_ns.rwc&amp;wdExp=TEAMS-TREATMENT&amp;wdhostclicktime=1728471345081&amp;web=1" TargetMode="External"/><Relationship Id="Rb29c85304f264645" Type="http://schemas.openxmlformats.org/officeDocument/2006/relationships/hyperlink" Target="https://contentkueche-my.sharepoint.com/:w:/r/personal/sarah_loderer_contentkueche_de/_layouts/15/Doc.aspx?sourcedoc=%7B24a37b00-5449-4f90-879c-2d404079bea9%7D&amp;action=edit&amp;wdPreviousSession=96d3a1b0-ef51-9458-f103-2ed12ff0066d" TargetMode="External"/><Relationship Id="R9e356d2d20414c31" Type="http://schemas.openxmlformats.org/officeDocument/2006/relationships/hyperlink" Target="mailto:invoice@contentkueche.de" TargetMode="External"/><Relationship Id="R8ab09d76c8a04c8f" Type="http://schemas.openxmlformats.org/officeDocument/2006/relationships/image" Target="../media/image2.png"/><Relationship Id="R0058f56995f84733" Type="http://schemas.openxmlformats.org/officeDocument/2006/relationships/image" Target="../media/image3.png"/><Relationship Id="Rbe54518979d94449" Type="http://schemas.openxmlformats.org/officeDocument/2006/relationships/image" Target="../media/image4.png"/><Relationship Id="R4cd823582438482f" Type="http://schemas.openxmlformats.org/officeDocument/2006/relationships/image" Target="../media/image5.png"/><Relationship Id="rId620691723" Type="http://schemas.openxmlformats.org/officeDocument/2006/relationships/image" Target="../media/image6.png"/><Relationship Id="rId1458971187" Type="http://schemas.openxmlformats.org/officeDocument/2006/relationships/image" Target="../media/image7.png"/><Relationship Id="Rdc06f962f6174fe3" Type="http://schemas.openxmlformats.org/officeDocument/2006/relationships/hyperlink" Target="https://contentkueche.sharepoint.com/:b:/s/contentkueche/EZCwkTnhTlFNjLwNCKxatnoBAWw3RwNvjhxqv9BYb1hFsQ?e=IMsoFK" TargetMode="External"/></Relationships>
</file>

<file path=word/_rels/header.xml.rels><?xml version='1.0' encoding='UTF-8' standalone='yes'?>
<Relationships xmlns="http://schemas.openxmlformats.org/package/2006/relationships"><Relationship Id="R969f2bbaa2f3475c" Type="http://schemas.openxmlformats.org/officeDocument/2006/relationships/image" Target="../media/image.png"/></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FCA6CF3DD80142B911F7593B11EA77" ma:contentTypeVersion="16" ma:contentTypeDescription="Ein neues Dokument erstellen." ma:contentTypeScope="" ma:versionID="68796f86ff1194f16e8751f53627371e">
  <xsd:schema xmlns:xsd="http://www.w3.org/2001/XMLSchema" xmlns:xs="http://www.w3.org/2001/XMLSchema" xmlns:p="http://schemas.microsoft.com/office/2006/metadata/properties" xmlns:ns2="0e74a0ad-f44d-49b8-9a38-e8016d9d75d7" xmlns:ns3="a9f90c52-b20d-4634-9e59-a3c5801722c9" targetNamespace="http://schemas.microsoft.com/office/2006/metadata/properties" ma:root="true" ma:fieldsID="a0dbbaa2b8ace8a73990de3643c994aa" ns2:_="" ns3:_="">
    <xsd:import namespace="0e74a0ad-f44d-49b8-9a38-e8016d9d75d7"/>
    <xsd:import namespace="a9f90c52-b20d-4634-9e59-a3c5801722c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a0ad-f44d-49b8-9a38-e8016d9d75d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451dcf25-d257-41ac-a5d4-8f17c912ffd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f90c52-b20d-4634-9e59-a3c5801722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fb2e15f-4caf-4a01-81df-fdaf272164d7}" ma:internalName="TaxCatchAll" ma:showField="CatchAllData" ma:web="a9f90c52-b20d-4634-9e59-a3c5801722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4a0ad-f44d-49b8-9a38-e8016d9d75d7">
      <Terms xmlns="http://schemas.microsoft.com/office/infopath/2007/PartnerControls"/>
    </lcf76f155ced4ddcb4097134ff3c332f>
    <TaxCatchAll xmlns="a9f90c52-b20d-4634-9e59-a3c5801722c9" xsi:nil="true"/>
  </documentManagement>
</p:properties>
</file>

<file path=customXml/itemProps1.xml><?xml version="1.0" encoding="utf-8"?>
<ds:datastoreItem xmlns:ds="http://schemas.openxmlformats.org/officeDocument/2006/customXml" ds:itemID="{F12500A5-9430-4ED0-BCC8-3D5231F93933}"/>
</file>

<file path=customXml/itemProps2.xml><?xml version="1.0" encoding="utf-8"?>
<ds:datastoreItem xmlns:ds="http://schemas.openxmlformats.org/officeDocument/2006/customXml" ds:itemID="{9369604F-156F-4A9B-B301-6BF21B8CE92C}"/>
</file>

<file path=customXml/itemProps3.xml><?xml version="1.0" encoding="utf-8"?>
<ds:datastoreItem xmlns:ds="http://schemas.openxmlformats.org/officeDocument/2006/customXml" ds:itemID="{375915FC-A1CA-4D48-AF47-918149A624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Loderer</dc:creator>
  <keywords/>
  <dc:description/>
  <lastModifiedBy>Sarah Loderer</lastModifiedBy>
  <dcterms:created xsi:type="dcterms:W3CDTF">2024-10-21T14:23:27.0000000Z</dcterms:created>
  <dcterms:modified xsi:type="dcterms:W3CDTF">2026-01-19T09:41:42.1096937Z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0x010100E1FCA6CF3DD80142B911F7593B11EA77</vt:lpwstr>
  </property>
  <property fmtid="{D5CDD505-2E9C-101B-9397-08002B2CF9AE}" pid="3" name="MediaServiceImageTags">
    <vt:lpwstr/>
  </property>
</Properties>
</file>