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Eigenerklärung zu den Profilen der vorgesehenen Mitarbeiter:innen</w:t>
      </w:r>
    </w:p>
    <w:p>
      <w:pPr>
        <w:pStyle w:val="Heading1"/>
      </w:pPr>
      <w:r>
        <w:t>Seite 1 – Leistungsbezug und Teamlogik</w:t>
      </w:r>
    </w:p>
    <w:p>
      <w:r>
        <w:rPr>
          <w:rFonts w:ascii="Arial" w:hAnsi="Arial"/>
          <w:b w:val="0"/>
        </w:rPr>
        <w:t>Die contentkueche GmbH ist eine Münchner Medien- und Content-Marketing-Agentur mit Schwerpunkt auf Social Content, Video, Redaktion, Strategie und skalierbaren Content-Systemen. Für den Rahmenvertrag über die Erstellung von Animationsvideos für Websites und soziale Medien bringt contentkueche ein interdisziplinäres Team aus Projektleitung, Konzeption, Redaktion, Produktion, Postproduktion und Qualitätssicherung ein.</w:t>
      </w:r>
    </w:p>
    <w:p>
      <w:r>
        <w:rPr>
          <w:rFonts w:ascii="Arial" w:hAnsi="Arial"/>
          <w:b w:val="0"/>
        </w:rPr>
        <w:t>Die fachliche Eignung ergibt sich aus der Verbindung von strategischer Beratung, verständlicher Aufbereitung komplexer Themen, Social-Media-gerechter Dramaturgie und produktionssicherer Umsetzung. Der Nachweis erfolgt über die nachstehenden Profile, ihre Rolle im Rahmenvertrag, die einschlägige Erfahrung, die Qualifikation und die vorgesehene Zuordnung zu den Aufgabenfeldern.</w:t>
      </w:r>
    </w:p>
    <w:tbl>
      <w:tblPr>
        <w:tblStyle w:val="TableGrid"/>
        <w:tblW w:type="dxa" w:w="9360"/>
        <w:jc w:val="left"/>
        <w:tblLayout w:type="fixed"/>
        <w:tblLook w:firstColumn="1" w:firstRow="1" w:lastColumn="0" w:lastRow="0" w:noHBand="0" w:noVBand="1" w:val="04A0"/>
        <w:tblInd w:w="0" w:type="dxa"/>
      </w:tblPr>
      <w:tblGrid>
        <w:gridCol w:w="1900"/>
        <w:gridCol w:w="2400"/>
        <w:gridCol w:w="2500"/>
        <w:gridCol w:w="25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Aufgabenfeld</w:t>
            </w:r>
          </w:p>
        </w:tc>
        <w:tc>
          <w:tcPr>
            <w:tcW w:type="dxa" w:w="2400"/>
            <w:vAlign w:val="top"/>
            <w:tcMar>
              <w:top w:w="120" w:type="dxa"/>
              <w:start w:w="130" w:type="dxa"/>
              <w:bottom w:w="120" w:type="dxa"/>
              <w:end w:w="130" w:type="dxa"/>
            </w:tcMar>
            <w:shd w:fill="550060"/>
          </w:tcPr>
          <w:p>
            <w:pPr>
              <w:spacing w:after="60" w:line="252" w:lineRule="auto"/>
            </w:pPr>
            <w:r>
              <w:rPr>
                <w:rFonts w:ascii="Arial" w:hAnsi="Arial"/>
                <w:b/>
                <w:color w:val="FFFFFF"/>
                <w:sz w:val="19"/>
              </w:rPr>
              <w:t>Rolle im Rahmenvertrag</w:t>
            </w:r>
          </w:p>
        </w:tc>
        <w:tc>
          <w:tcPr>
            <w:tcW w:type="dxa" w:w="2500"/>
            <w:vAlign w:val="top"/>
            <w:tcMar>
              <w:top w:w="120" w:type="dxa"/>
              <w:start w:w="130" w:type="dxa"/>
              <w:bottom w:w="120" w:type="dxa"/>
              <w:end w:w="130" w:type="dxa"/>
            </w:tcMar>
            <w:shd w:fill="550060"/>
          </w:tcPr>
          <w:p>
            <w:pPr>
              <w:spacing w:after="60" w:line="252" w:lineRule="auto"/>
            </w:pPr>
            <w:r>
              <w:rPr>
                <w:rFonts w:ascii="Arial" w:hAnsi="Arial"/>
                <w:b/>
                <w:color w:val="FFFFFF"/>
                <w:sz w:val="19"/>
              </w:rPr>
              <w:t>Teamgröße und Abdeckung</w:t>
            </w:r>
          </w:p>
        </w:tc>
        <w:tc>
          <w:tcPr>
            <w:tcW w:type="dxa" w:w="2560"/>
            <w:vAlign w:val="top"/>
            <w:tcMar>
              <w:top w:w="120" w:type="dxa"/>
              <w:start w:w="130" w:type="dxa"/>
              <w:bottom w:w="120" w:type="dxa"/>
              <w:end w:w="130" w:type="dxa"/>
            </w:tcMar>
            <w:shd w:fill="550060"/>
          </w:tcPr>
          <w:p>
            <w:pPr>
              <w:spacing w:after="60" w:line="252" w:lineRule="auto"/>
            </w:pPr>
            <w:r>
              <w:rPr>
                <w:rFonts w:ascii="Arial" w:hAnsi="Arial"/>
                <w:b/>
                <w:color w:val="FFFFFF"/>
                <w:sz w:val="19"/>
              </w:rPr>
              <w:t>Eignungsbeitrag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Projektleitung und operative Steuerung</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Zentrale Steuerung von Briefing, Timing, Feedbackschleifen und Qualität</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1–2 Personen je Abruf</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Sichert klare Zuständigkeiten, belastbare Abläufe und eine verlässliche Kommunikation mit dem Auftraggeber.</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Konzeption, Redaktion und Skript</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Entwicklung von Themenstruktur, Storyline, Sprechertexten und kanalnahen Textfassungen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1–2 Personen je Abruf</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Übersetzt politische und gesellschaftliche Inhalte in verständliche, zielgruppengerechte Animationslogik.</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Produktion, Motion-/Video-Workflow und Postproduktion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Produktionsplanung, Schnittlogik, Mediengestaltung, technische Workflows und Ausspielvorbereitung</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1–2 Personen je Abruf</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Stellt sicher, dass Animationsvideos in Gestaltung, Timing, Tonalität und Format sauber umgesetzt werden.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Qualitätssicherung und Geschäftsführungsanbindung</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Ressourcensteuerung, Eskalationsfähigkeit, Budget- und Prozesssicherheit</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1 Person punktuell je Abruf</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Gibt dem Rahmenvertrag organisatorische Stabilität und schafft belastbare Entscheidungswege.</w:t>
            </w:r>
          </w:p>
        </w:tc>
      </w:tr>
    </w:tbl>
    <w:p>
      <w:pPr>
        <w:pStyle w:val="Heading1"/>
      </w:pPr>
      <w:r>
        <w:t>Seite 2 – Profile der vorgesehenen Mitarbeiter:innen</w:t>
      </w:r>
    </w:p>
    <w:tbl>
      <w:tblPr>
        <w:tblStyle w:val="TableGrid"/>
        <w:tblW w:type="dxa" w:w="9360"/>
        <w:jc w:val="left"/>
        <w:tblLayout w:type="fixed"/>
        <w:tblLook w:firstColumn="1" w:firstRow="1" w:lastColumn="0" w:lastRow="0" w:noHBand="0" w:noVBand="1" w:val="04A0"/>
        <w:tblInd w:w="0" w:type="dxa"/>
      </w:tblPr>
      <w:tblGrid>
        <w:gridCol w:w="1100"/>
        <w:gridCol w:w="1800"/>
        <w:gridCol w:w="2300"/>
        <w:gridCol w:w="2300"/>
        <w:gridCol w:w="1860"/>
      </w:tblGrid>
      <w:tr>
        <w:tc>
          <w:tcPr>
            <w:tcW w:type="dxa" w:w="1100"/>
            <w:vAlign w:val="top"/>
            <w:tcMar>
              <w:top w:w="120" w:type="dxa"/>
              <w:start w:w="130" w:type="dxa"/>
              <w:bottom w:w="120" w:type="dxa"/>
              <w:end w:w="130" w:type="dxa"/>
            </w:tcMar>
            <w:shd w:fill="550060"/>
          </w:tcPr>
          <w:p>
            <w:pPr>
              <w:spacing w:after="60" w:line="252" w:lineRule="auto"/>
            </w:pPr>
            <w:r>
              <w:rPr>
                <w:rFonts w:ascii="Arial" w:hAnsi="Arial"/>
                <w:b/>
                <w:color w:val="FFFFFF"/>
                <w:sz w:val="19"/>
              </w:rPr>
              <w:t>Mitarbeiter:in</w:t>
            </w:r>
          </w:p>
        </w:tc>
        <w:tc>
          <w:tcPr>
            <w:tcW w:type="dxa" w:w="1800"/>
            <w:vAlign w:val="top"/>
            <w:tcMar>
              <w:top w:w="120" w:type="dxa"/>
              <w:start w:w="130" w:type="dxa"/>
              <w:bottom w:w="120" w:type="dxa"/>
              <w:end w:w="130" w:type="dxa"/>
            </w:tcMar>
            <w:shd w:fill="550060"/>
          </w:tcPr>
          <w:p>
            <w:pPr>
              <w:spacing w:after="60" w:line="252" w:lineRule="auto"/>
            </w:pPr>
            <w:r>
              <w:rPr>
                <w:rFonts w:ascii="Arial" w:hAnsi="Arial"/>
                <w:b/>
                <w:color w:val="FFFFFF"/>
                <w:sz w:val="19"/>
              </w:rPr>
              <w:t>Rolle</w:t>
            </w:r>
          </w:p>
        </w:tc>
        <w:tc>
          <w:tcPr>
            <w:tcW w:type="dxa" w:w="2300"/>
            <w:vAlign w:val="top"/>
            <w:tcMar>
              <w:top w:w="120" w:type="dxa"/>
              <w:start w:w="130" w:type="dxa"/>
              <w:bottom w:w="120" w:type="dxa"/>
              <w:end w:w="130" w:type="dxa"/>
            </w:tcMar>
            <w:shd w:fill="550060"/>
          </w:tcPr>
          <w:p>
            <w:pPr>
              <w:spacing w:after="60" w:line="252" w:lineRule="auto"/>
            </w:pPr>
            <w:r>
              <w:rPr>
                <w:rFonts w:ascii="Arial" w:hAnsi="Arial"/>
                <w:b/>
                <w:color w:val="FFFFFF"/>
                <w:sz w:val="19"/>
              </w:rPr>
              <w:t>Erfahrung und Qualifikation</w:t>
            </w:r>
          </w:p>
        </w:tc>
        <w:tc>
          <w:tcPr>
            <w:tcW w:type="dxa" w:w="2300"/>
            <w:vAlign w:val="top"/>
            <w:tcMar>
              <w:top w:w="120" w:type="dxa"/>
              <w:start w:w="130" w:type="dxa"/>
              <w:bottom w:w="120" w:type="dxa"/>
              <w:end w:w="130" w:type="dxa"/>
            </w:tcMar>
            <w:shd w:fill="550060"/>
          </w:tcPr>
          <w:p>
            <w:pPr>
              <w:spacing w:after="60" w:line="252" w:lineRule="auto"/>
            </w:pPr>
            <w:r>
              <w:rPr>
                <w:rFonts w:ascii="Arial" w:hAnsi="Arial"/>
                <w:b/>
                <w:color w:val="FFFFFF"/>
                <w:sz w:val="19"/>
              </w:rPr>
              <w:t>Aufgabenfelder im Auftrag</w:t>
            </w:r>
          </w:p>
        </w:tc>
        <w:tc>
          <w:tcPr>
            <w:tcW w:type="dxa" w:w="1860"/>
            <w:vAlign w:val="top"/>
            <w:tcMar>
              <w:top w:w="120" w:type="dxa"/>
              <w:start w:w="130" w:type="dxa"/>
              <w:bottom w:w="120" w:type="dxa"/>
              <w:end w:w="130" w:type="dxa"/>
            </w:tcMar>
            <w:shd w:fill="550060"/>
          </w:tcPr>
          <w:p>
            <w:pPr>
              <w:spacing w:after="60" w:line="252" w:lineRule="auto"/>
            </w:pPr>
            <w:r>
              <w:rPr>
                <w:rFonts w:ascii="Arial" w:hAnsi="Arial"/>
                <w:b/>
                <w:color w:val="FFFFFF"/>
                <w:sz w:val="19"/>
              </w:rPr>
              <w:t>Nachweis der Eignung und Verfügbarkeit</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Nadine Meyer</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Geschäftsführerin / organisatorische Gesamtsteuerung</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Gründerin der contentkueche GmbH mit langjähriger Erfahrung in TV, PR, Online Marketing, Projektmanagement, Controlling, Teamführung, Social Media und Content Marketing.</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Geschäftsführungsseitige Ressourcen- und Organisationsverantwortung, Teamführung, Vertrags- und Prozesssicherheit, Eskalationsfähigkeit.</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Geschäftsführungsprofil mit Erfahrung in Medienproduktion, Agentursteuerung und Teamaufbau; punktuelle Einbindung für Steuerungs-, Ressourcen- und Eskalationsthemen.</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Constantin Duge</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Projektleitung / operative Leitung</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Operativer Geschäftsführer mit Erfahrung in strategischer Beratung, Kundenprojekten, Projektqualität, Angebots- und Konzeptfragen sowie operativer Steuerung.</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Hauptansprechpartner für Briefing, Aufgabenklärung, Priorisierung, Qualitätssteuerung und fachliche Abstimmung der Einzelabrufe.</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Operatives Führungsprofil mit langjähriger contentkueche-Erfahrung; kontinuierliche Einbindung in Briefing, Konzeptentscheidungen und Qualitätssicherung.</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Sarah Loderer</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Projektmanagement / Prozess- und Budgetsteuerung</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Verantwortlich für effiziente Abläufe, transparente Prozesse, Budget- und Abrechnungssicherheit sowie interne Steuerung.</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Projektkoordination, Timing, Ressourcenplanung, Feedbackschleifen, Ablaufkontrolle und kaufmännisch saubere Projektführung.</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Projektmanagementprofil mit Schwerpunkt Prozesssicherheit; Einbindung in Terminführung, Budgettracking und koordinierte Übergaben.</w:t>
            </w:r>
          </w:p>
        </w:tc>
      </w:tr>
      <w:tr>
        <w:tc>
          <w:tcPr>
            <w:tcW w:type="dxa" w:w="11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Julius Froehlich</w:t>
            </w:r>
          </w:p>
        </w:tc>
        <w:tc>
          <w:tcPr>
            <w:tcW w:type="dxa" w:w="1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Produktion / technische Workflows / Postproduktion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Erfahrung in Produktion, Schnitt, digitalen Workflows, Tool-Setup und Automatisierung; fachliche Unterstützung für Video- und Social-Media-Produktionen.</w:t>
            </w:r>
          </w:p>
        </w:tc>
        <w:tc>
          <w:tcPr>
            <w:tcW w:type="dxa" w:w="23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Produktionsplanung, Schnitt- und Postproduktionslogik, technische Setups, Workflow-Sicherheit und Formatadaption für Social Media und Websites.</w:t>
            </w:r>
          </w:p>
        </w:tc>
        <w:tc>
          <w:tcPr>
            <w:tcW w:type="dxa" w:w="18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Produktionsprofil mit starker Nähe zu Video-Workflows; abrufbezogene Einbindung für Produktionsplanung, Motion-/Schnittworkflow und technische Umsetzung.</w:t>
            </w:r>
          </w:p>
        </w:tc>
      </w:tr>
      <w:tr>
        <w:tc>
          <w:tcPr>
            <w:tcW w:type="dxa" w:w="11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Marlene Mackinger</w:t>
            </w:r>
          </w:p>
        </w:tc>
        <w:tc>
          <w:tcPr>
            <w:tcW w:type="dxa" w:w="1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Content, Redaktion und Konzept</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Senior Content Marketing Managerin mit Erfahrung in Kundenführung, Content-Marketing-Konzepten, Briefings, Projektkoordination, Text-Content und SEO.</w:t>
            </w:r>
          </w:p>
        </w:tc>
        <w:tc>
          <w:tcPr>
            <w:tcW w:type="dxa" w:w="23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Themenstruktur, redaktionelle Verdichtung, Skriptlogik, Sprechertext, webgerechte Textführung und Anschlussfähigkeit an digitale Ausspielkanäle.</w:t>
            </w:r>
          </w:p>
        </w:tc>
        <w:tc>
          <w:tcPr>
            <w:tcW w:type="dxa" w:w="18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Content-Profil mit redaktioneller und konzeptioneller Erfahrung; Einbindung für Themenentwicklung, Textfassung und zielgruppengerechte Aufbereitung.</w:t>
            </w:r>
          </w:p>
        </w:tc>
      </w:tr>
    </w:tbl>
    <w:p>
      <w:pPr>
        <w:pStyle w:val="Heading1"/>
      </w:pPr>
      <w:r>
        <w:t>Verfügbarkeit und Zusammenarbeit</w:t>
      </w:r>
    </w:p>
    <w:p>
      <w:r>
        <w:rPr>
          <w:rFonts w:ascii="Arial" w:hAnsi="Arial"/>
          <w:b w:val="0"/>
        </w:rPr>
        <w:t>Die Projektorganisation ist auf einen Rahmenvertrag mit planbaren Einzelabrufen ausgerichtet. Die benannten Rollen sind in die Ressourcenplanung für Briefing, Konzeption, Produktion, Postproduktion und Qualitätssicherung eingebunden. Die zentrale Koordination erfolgt über Projektleitung und Projektmanagement; dadurch bleiben Zeitplanung, Feedbackschleifen, Abstimmungen und Übergaben über alle Phasen hinweg klar geführt.</w:t>
      </w:r>
    </w:p>
    <w:p>
      <w:r>
        <w:rPr>
          <w:rFonts w:ascii="Arial" w:hAnsi="Arial"/>
          <w:b w:val="0"/>
        </w:rPr>
        <w:t>Bei parallelen Abrufen wird die Besetzung rollenbasiert gesteuert: Projektleitung und Projektmanagement halten die Auftraggeberkommunikation, während Konzeption, Redaktion, Produktion und Postproduktion je nach Umfang des Animationsvideos zugeordnet werden. Die Geschäftsführungsanbindung stellt sicher, dass Ressourcen-, Prozess- und Eskalationsthemen kurzfristig entschieden werden können.</w:t>
      </w:r>
    </w:p>
    <w:p>
      <w:pPr>
        <w:pStyle w:val="Heading1"/>
      </w:pPr>
      <w:r>
        <w:t>Zusammenfassender Eignungsbezug</w:t>
      </w:r>
    </w:p>
    <w:p>
      <w:r>
        <w:rPr>
          <w:rFonts w:ascii="Arial" w:hAnsi="Arial"/>
          <w:b w:val="0"/>
        </w:rPr>
        <w:t>Das vorgesehene Kernteam deckt die fachlichen Herausforderungen des Rahmenvertrags vollständig ab: verständliche Aufbereitung komplexer Inhalte, Social-Media- und Website-gerechte Dramaturgie, strukturierte Skript- und Storyentwicklung, produktionssichere Umsetzung, qualitätsgesicherte Postproduktion und verlässliche Projektsteuerung.</w:t>
      </w:r>
    </w:p>
    <w:p>
      <w:r>
        <w:rPr>
          <w:rFonts w:ascii="Arial" w:hAnsi="Arial"/>
          <w:b w:val="0"/>
        </w:rPr>
        <w:t>Die Profile verbinden strategische, redaktionelle, organisatorische und technische Kompetenzen. Damit ist die contentkueche GmbH für wiederkehrende Animationsvideo-Abrufe so aufgestellt, dass Inhalte fachlich sauber verdichtet, gestalterisch konsistent umgesetzt und über klare Rollen zuverlässig gesteuert werden.</w:t>
      </w:r>
    </w:p>
    <w:sectPr w:rsidR="00FC693F" w:rsidRPr="0006063C" w:rsidSect="00034616">
      <w:pgSz w:w="11909" w:h="16834"/>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88" w:lineRule="auto"/>
    </w:pPr>
    <w:rPr>
      <w:rFonts w:ascii="Arial" w:hAnsi="Arial"/>
      <w:color w:val="3B3B3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rial" w:hAnsi="Arial"/>
      <w:b/>
      <w:bCs/>
      <w:color w:val="550060"/>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C60A7B"/>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3B3B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Arial" w:hAnsi="Arial"/>
      <w:b/>
      <w:color w:val="55006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7070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76" w:lineRule="auto"/>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76" w:lineRule="auto"/>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