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Formalia / Recht / Erklärungen</w:t>
      </w:r>
    </w:p>
    <w:p>
      <w:r>
        <w:rPr>
          <w:rFonts w:ascii="Arial" w:hAnsi="Arial"/>
          <w:b w:val="0"/>
        </w:rPr>
        <w:t>Die Formalia werden als vorbereitete Formular- und Erklärungssammlung aufgebaut. Standardfälle sind vorausgefüllt; bindungsnahe Angaben werden in der internen Freigabestrecke separat dokumentiert.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Umfang der vorbereiteten Unterlagen</w:t>
      </w:r>
    </w:p>
    <w:p>
      <w:pPr>
        <w:pStyle w:val="ListBullet"/>
      </w:pPr>
      <w:r>
        <w:rPr>
          <w:rFonts w:ascii="Arial" w:hAnsi="Arial"/>
          <w:b w:val="0"/>
        </w:rPr>
        <w:t>Erkannte Formalia-Punkte: 40</w:t>
      </w:r>
    </w:p>
    <w:p>
      <w:pPr>
        <w:pStyle w:val="ListBullet"/>
      </w:pPr>
      <w:r>
        <w:rPr>
          <w:rFonts w:ascii="Arial" w:hAnsi="Arial"/>
          <w:b w:val="0"/>
        </w:rPr>
        <w:t>Vorbereitete Formulare: 2</w:t>
      </w:r>
    </w:p>
    <w:p>
      <w:pPr>
        <w:pStyle w:val="ListBullet"/>
      </w:pPr>
      <w:r>
        <w:rPr>
          <w:rFonts w:ascii="Arial" w:hAnsi="Arial"/>
          <w:b w:val="0"/>
        </w:rPr>
        <w:t>Sichere Füllungen: 9</w:t>
      </w:r>
    </w:p>
    <w:p>
      <w:pPr>
        <w:pStyle w:val="ListBullet"/>
      </w:pPr>
      <w:r>
        <w:rPr>
          <w:rFonts w:ascii="Arial" w:hAnsi="Arial"/>
          <w:b w:val="0"/>
        </w:rPr>
        <w:t>Inhaltliche Einfügungen: 2</w:t>
      </w:r>
    </w:p>
    <w:p>
      <w:pPr>
        <w:pStyle w:val="ListBullet"/>
      </w:pPr>
      <w:r>
        <w:rPr>
          <w:rFonts w:ascii="Arial" w:hAnsi="Arial"/>
          <w:b w:val="0"/>
        </w:rPr>
        <w:t>Ausstehende Angaben: 5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Zentrale Entscheidungen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Thema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Vorgesehene Angabe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Einordnung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Barrierefreiheit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Formularwortlaut wird unverändert übernommen.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Formularwortlaut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KI-Kennzeichnung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Sichere Basisdaten werden aus den hinterlegten Unternehmensdaten übernommen; sensible Angaben bleiben eindeutig als Felder gekennzeichnet.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fachliche Angabe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Bietergemeinschaft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Nein, contentkueche bietet allein an; keine Bewerber-/Bietergemeinschaft. Abweichend nur bei eine gemeinsame Angebotskonstellation ausdrücklich geplant ist.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Standardangabe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Angebotsschreiben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Angebots-/Steuerfelder mit Company Evidence vorbereiten; USt-/Steuerdaten aus den hinterlegten Unternehmensdaten übernehmen und kaufmännisch abstimmen.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Unternehmensdaten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Bindefrist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Formularwortlaut wird unverändert übernommen.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Formularwortlaut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Vertragsannahme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Legal/kaufmännische Abstimmung: Vertragsannahme und Bindefrist prüfen.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Vertragspunkt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Nutzungsrechte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Sichere Basisdaten werden aus den hinterlegten Unternehmensdaten übernommen; sensible Angaben bleiben eindeutig als Felder gekennzeichnet.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fachliche Angabe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Lizenzen / Fremdkosten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Sichere Basisdaten werden aus den hinterlegten Unternehmensdaten übernommen; sensible Angaben bleiben eindeutig als Felder gekennzeichnet.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fachliche Angabe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Vertraulichkeit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Formularwortlaut wird unverändert übernommen.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Formularwortlaut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Haftung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Formularwortlaut wird unverändert übernommen.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Formularwortlaut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Unteraufträge / Nachunternehmer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Nein, keine Unteraufträge/Nachunternehmer vorgesehen. Abweichend nur bei im konkreten Pitch externe Leistungspartner verbindlich eingesetzt werden sollen.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Standardangabe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Datenschutz / AVV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Vertragspunkt: AVV/Datenschutzpflichten als Vertragspunkt gesondert abbilden.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Vertragspunkt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Ausschlussgründe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Erklärung zum Nichtvorliegen von Ausschlussgründen entsprechend dem Formular übernehmen.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Standardangabe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Eigenerklärungen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Der Formularwortlaut wird unverändert übernommen.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Formularwortlaut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Unternehmens- und Rechtsdaten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Aus Company Evidence vorbereitbar: Basis-/Registerdaten aus belegter Quelle vorbefüllen, Eingaben für fehlende Steuer-/Registerdetails nutzen, .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Unternehmensdaten</w:t>
            </w:r>
          </w:p>
        </w:tc>
      </w:tr>
    </w:tbl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Formularstand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1900"/>
        <w:gridCol w:w="3200"/>
        <w:gridCol w:w="4260"/>
      </w:tblGrid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Formular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Vorbereitete Angaben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550060"/>
          </w:tcPr>
          <w:p>
            <w:pPr>
              <w:spacing w:after="60" w:line="252" w:lineRule="auto"/>
            </w:pPr>
            <w:r>
              <w:rPr>
                <w:rFonts w:ascii="Arial" w:hAnsi="Arial"/>
                <w:b/>
                <w:color w:val="FFFFFF"/>
                <w:sz w:val="19"/>
              </w:rPr>
              <w:t>Ausstehende Angaben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324_angebotsschreiben.docx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10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FFBF5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Umsatz; Unterschrift/Datum; Registerdaten: bekannte Company-Evidence-Werte eingefügt/notiert;</w:t>
            </w:r>
          </w:p>
        </w:tc>
      </w:tr>
      <w:tr>
        <w:tc>
          <w:tcPr>
            <w:tcW w:type="dxa" w:w="19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531_bewerber_bietergemeinschaftserklärung.docx</w:t>
            </w:r>
          </w:p>
        </w:tc>
        <w:tc>
          <w:tcPr>
            <w:tcW w:type="dxa" w:w="320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9</w:t>
            </w:r>
          </w:p>
        </w:tc>
        <w:tc>
          <w:tcPr>
            <w:tcW w:type="dxa" w:w="4260"/>
            <w:vAlign w:val="top"/>
            <w:tcMar>
              <w:top w:w="120" w:type="dxa"/>
              <w:start w:w="130" w:type="dxa"/>
              <w:bottom w:w="120" w:type="dxa"/>
              <w:end w:w="130" w:type="dxa"/>
            </w:tcMar>
            <w:shd w:fill="F5F0F2"/>
          </w:tcPr>
          <w:p>
            <w:pPr>
              <w:spacing w:after="60" w:line="252" w:lineRule="auto"/>
            </w:pPr>
            <w:r>
              <w:rPr>
                <w:rFonts w:ascii="Arial" w:hAnsi="Arial"/>
                <w:b w:val="0"/>
                <w:color w:val="3B3B3B"/>
                <w:sz w:val="19"/>
              </w:rPr>
              <w:t>Standardentscheidung Bietergemeinschaft: contentkueche bietet allein an; nur bei konkreter Abweichung ergänzen.</w:t>
            </w:r>
          </w:p>
        </w:tc>
      </w:tr>
    </w:tbl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