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>
        <w:pStyle w:val="Title"/>
        <w:keepNext/>
        <w:spacing w:after="160"/>
        <w:jc w:val="left"/>
      </w:pPr>
      <w:r>
        <w:rPr>
          <w:rFonts w:ascii="Arial" w:hAnsi="Arial"/>
          <w:b/>
          <w:color w:val="550060"/>
          <w:sz w:val="40"/>
        </w:rPr>
        <w:t>Referenzen / Cases / Nachweise</w:t>
      </w:r>
    </w:p>
    <w:p>
      <w:r>
        <w:rPr>
          <w:rFonts w:ascii="Arial" w:hAnsi="Arial"/>
          <w:b w:val="0"/>
        </w:rPr>
        <w:t>Die Referenzauswahl wird entlang der geforderten Video-, Livestream- und Social-Video-Erfahrungen vorbereitet.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Vorgeschlagene Referenzen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Referenz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Passung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Offene Pflichtfelder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Referenz NOVAFON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Video-/Bewegtbildbezug erkennbar; Zeitraum wirkt aktuell/prüfbar; Auftragssumme/Budget-Hinweis vorhanden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keine im System markiert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Referenz LV 1871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Video-/Bewegtbildbezug erkennbar; Zeitraum wirkt aktuell/prüfbar; Auftragssumme/Budget-Hinweis vorhanden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keine im System markiert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Referenz Libify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Video-/Bewegtbildbezug erkennbar; Zeitraum wirkt aktuell/prüfbar; Auftragssumme/Budget-Hinweis vorhanden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Anschrift Auftraggeber*in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Workshopreferenz: Mobile Reporting für das Bayerische Wirtschaftsministerium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Video-/Bewegtbildbezug erkennbar; Auftragssumme/Budget-Hinweis vorhanden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Anschrift Auftraggeber*in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Projektreferenz: Teams Webinar für IFAT Munich Startups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Video-/Bewegtbildbezug erkennbar; Auftragssumme/Budget-Hinweis vorhanden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Anschrift Auftraggeber*in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Projektreferenz: Full-Service Social Media für LV 1871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Video-/Bewegtbildbezug erkennbar; Zeitraum wirkt aktuell/prüfbar; Auftragssumme/Budget-Hinweis vorhanden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keine im System markiert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Social-Media-Kommunikation für IFAT Munich rund um den SZ Wirtschaftsgipfel 2025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Video-/Bewegtbildbezug erkennbar; Zeitraum wirkt aktuell/prüfbar; Auftragssumme/Budget-Hinweis vorhanden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Anschrift Auftraggeber*in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Full-Service Social Media Wahlkampf für CDU Sachsen-Anhalt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Video-/Bewegtbildbezug erkennbar; Zeitraum wirkt aktuell/prüfbar; Auftragssumme/Budget-Hinweis vorhanden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Anschrift Auftraggeber*in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Auswahlstand</w:t>
      </w:r>
    </w:p>
    <w:p>
      <w:r>
        <w:rPr>
          <w:rFonts w:ascii="Arial" w:hAnsi="Arial"/>
          <w:b w:val="0"/>
        </w:rPr>
        <w:t>Auswahlstand für voraussichtlich 1 bis 3 Referenzen: Workshopreferenz: Mobile Reporting für das Bayerische Wirtschaftsministerium; Projektreferenz: Teams Webinar für IFAT Munich Startups; Projektreferenz: Full-Service Social Media für LV 1871. Fehlende Pflichtfelder werden in der Referenztabelle ausgewiesen; die Einreichliste wird daraus abgeleitet. Noch offen: Workshopreferenz: Mobile Reporting für das Bayerische Wirtschaftsministerium: Anschrift Auftraggeber*in; Projektreferenz: Teams Webinar für IFAT Munich Startups: Anschrift Auftraggeber*in.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Feldstatus für die Referenzformulare</w:t>
      </w:r>
    </w:p>
    <w:p>
      <w:r>
        <w:rPr>
          <w:rFonts w:ascii="Arial" w:hAnsi="Arial"/>
          <w:b w:val="0"/>
        </w:rPr>
        <w:t>Die folgenden Angaben werden für die formalen Referenzanlagen ergänzt, bevor die Referenzen in die Einreichliste übernommen werden.</w:t>
      </w:r>
    </w:p>
    <w:p>
      <w:pPr>
        <w:pStyle w:val="ListBullet"/>
      </w:pPr>
      <w:r>
        <w:rPr>
          <w:rFonts w:ascii="Arial" w:hAnsi="Arial"/>
          <w:b w:val="0"/>
        </w:rPr>
        <w:t>Referenz Libify: Anschrift Auftraggeber*in</w:t>
      </w:r>
    </w:p>
    <w:p>
      <w:pPr>
        <w:pStyle w:val="ListBullet"/>
      </w:pPr>
      <w:r>
        <w:rPr>
          <w:rFonts w:ascii="Arial" w:hAnsi="Arial"/>
          <w:b w:val="0"/>
        </w:rPr>
        <w:t>Workshopreferenz: Mobile Reporting für das Bayerische Wirtschaftsministerium: Anschrift Auftraggeber*in</w:t>
      </w:r>
    </w:p>
    <w:p>
      <w:pPr>
        <w:pStyle w:val="ListBullet"/>
      </w:pPr>
      <w:r>
        <w:rPr>
          <w:rFonts w:ascii="Arial" w:hAnsi="Arial"/>
          <w:b w:val="0"/>
        </w:rPr>
        <w:t>Projektreferenz: Teams Webinar für IFAT Munich Startups: Anschrift Auftraggeber*in</w:t>
      </w:r>
    </w:p>
    <w:p>
      <w:pPr>
        <w:pStyle w:val="ListBullet"/>
      </w:pPr>
      <w:r>
        <w:rPr>
          <w:rFonts w:ascii="Arial" w:hAnsi="Arial"/>
          <w:b w:val="0"/>
        </w:rPr>
        <w:t>Social-Media-Kommunikation für IFAT Munich rund um den SZ Wirtschaftsgipfel 2025: Anschrift Auftraggeber*in</w:t>
      </w:r>
    </w:p>
    <w:p>
      <w:pPr>
        <w:pStyle w:val="ListBullet"/>
      </w:pPr>
      <w:r>
        <w:rPr>
          <w:rFonts w:ascii="Arial" w:hAnsi="Arial"/>
          <w:b w:val="0"/>
        </w:rPr>
        <w:t>Full-Service Social Media Wahlkampf für CDU Sachsen-Anhalt: Anschrift Auftraggeber*in</w:t>
      </w:r>
    </w:p>
    <w:p>
      <w:pPr>
        <w:pStyle w:val="ListBullet"/>
      </w:pPr>
      <w:r>
        <w:rPr>
          <w:rFonts w:ascii="Arial" w:hAnsi="Arial"/>
          <w:b w:val="0"/>
        </w:rPr>
        <w:t>Remote Social-Media-Workshop für CDU-Kandidierende und Teams: Anschrift Auftraggeber*in</w:t>
      </w:r>
    </w:p>
    <w:p>
      <w:pPr>
        <w:pStyle w:val="ListBullet"/>
      </w:pPr>
      <w:r>
        <w:rPr>
          <w:rFonts w:ascii="Arial" w:hAnsi="Arial"/>
          <w:b w:val="0"/>
        </w:rPr>
        <w:t>TikTok Case Study: Die Macht der organischen Reichweite: Auftragssumme</w:t>
      </w:r>
    </w:p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customStyle="1" w:styleId="Title">
    <w:name w:val="Title"/>
    <w:pPr>
      <w:spacing w:after="160"/>
    </w:pPr>
    <w:rPr>
      <w:rFonts w:ascii="Arial" w:hAnsi="Arial"/>
      <w:b/>
      <w:color w:val="550060"/>
      <w:sz w:val="40"/>
    </w:rPr>
  </w:style>
  <w:style w:type="paragraph" w:customStyle="1" w:styleId="Subtitle">
    <w:name w:val="Subtitle"/>
    <w:rPr>
      <w:rFonts w:ascii="Arial" w:hAnsi="Arial"/>
      <w:color w:val="707070"/>
      <w:sz w:val="22"/>
    </w:rPr>
  </w:style>
  <w:style w:type="paragraph" w:customStyle="1" w:styleId="Heading1">
    <w:name w:val="heading 1"/>
    <w:pPr>
      <w:keepNext/>
      <w:spacing w:before="200" w:after="120"/>
    </w:pPr>
    <w:rPr>
      <w:rFonts w:ascii="Arial" w:hAnsi="Arial"/>
      <w:b/>
      <w:color w:val="550060"/>
      <w:sz w:val="28"/>
    </w:rPr>
  </w:style>
  <w:style w:type="paragraph" w:customStyle="1" w:styleId="Heading2">
    <w:name w:val="heading 2"/>
    <w:pPr>
      <w:keepNext/>
      <w:spacing w:before="160" w:after="80"/>
    </w:pPr>
    <w:rPr>
      <w:rFonts w:ascii="Arial" w:hAnsi="Arial"/>
      <w:b/>
      <w:color w:val="C60A7B"/>
      <w:sz w:val="24"/>
    </w:rPr>
  </w:style>
  <w:style w:type="paragraph" w:customStyle="1" w:styleId="Heading3">
    <w:name w:val="heading 3"/>
    <w:pPr>
      <w:keepNext/>
      <w:spacing w:before="120" w:after="60"/>
    </w:pPr>
    <w:rPr>
      <w:rFonts w:ascii="Arial" w:hAnsi="Arial"/>
      <w:b/>
      <w:color w:val="3B3B3B"/>
      <w:sz w:val="22"/>
    </w:rPr>
  </w:style>
  <w:style w:type="paragraph" w:customStyle="1" w:styleId="ListBullet">
    <w:name w:val="List Bullet"/>
    <w:pPr>
      <w:spacing w:after="40" w:line="276" w:lineRule="auto"/>
    </w:pPr>
    <w:rPr>
      <w:rFonts w:ascii="Arial" w:hAnsi="Arial"/>
      <w:sz w:val="21"/>
    </w:rPr>
  </w:style>
  <w:style w:type="paragraph" w:customStyle="1" w:styleId="ListNumber">
    <w:name w:val="List Number"/>
    <w:pPr>
      <w:spacing w:after="40" w:line="276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