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xml" ContentType="application/vnd.openxmlformats-officedocument.wordprocessingml.footer+xml"/>
  <Override PartName="/word/header.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pPr>
        <w:pStyle w:val="Title"/>
        <w:keepNext/>
        <w:spacing w:after="160"/>
        <w:jc w:val="left"/>
      </w:pPr>
      <w:r>
        <w:rPr>
          <w:rFonts w:ascii="Arial" w:hAnsi="Arial"/>
          <w:b/>
          <w:color w:val="550060"/>
          <w:sz w:val="40"/>
        </w:rPr>
        <w:t>Konzeptantwort / Arbeitsprobe</w:t>
      </w:r>
    </w:p>
    <w:p>
      <w:pPr>
        <w:pStyle w:val="Heading1"/>
        <w:keepNext/>
        <w:spacing w:before="200" w:after="120"/>
      </w:pPr>
      <w:r>
        <w:rPr>
          <w:rFonts w:ascii="Arial" w:hAnsi="Arial"/>
          <w:b/>
          <w:color w:val="550060"/>
          <w:sz w:val="28"/>
        </w:rPr>
        <w:t>Leistungsverständnis in Angebotslogik und Konzeptstruktur übersetzen</w:t>
      </w:r>
    </w:p>
    <w:p>
      <w:r>
        <w:rPr>
          <w:rFonts w:ascii="Arial" w:hAnsi="Arial"/>
          <w:b w:val="0"/>
        </w:rPr>
        <w:t>In der Angebotsantwort wird Leistungsverständnis in Angebotslogik und Konzeptstruktur übersetzen als eigener, pruefbarer Baustein ausgearbeitet. Ziel ist, Das Angebot muss Bewertungslogik und Leistungsverständnis aus den Ausschreibungsunterlagen spiegeln nicht nur zu benennen, sondern in konkrete Umsetzungsschritte, Verantwortlichkeiten und Review-Nachweise zu uebersetzen. Der Abschnitt nimmt den Quellhinweis • finale Medienprodukte (Videos, Audioformate, Animationen), sichtbar auf und uebersetzt ihn in Vorgehen, Rollen, Qualitaetssicherung und Nachweise. Vor finaler Fassung müssen passende Cases, Claims, Teamangaben und offene Annahmen fachlich freigegeben werden.</w:t>
      </w:r>
    </w:p>
    <w:p>
      <w:pPr>
        <w:pStyle w:val="Heading1"/>
        <w:keepNext/>
        <w:spacing w:before="200" w:after="120"/>
      </w:pPr>
      <w:r>
        <w:rPr>
          <w:rFonts w:ascii="Arial" w:hAnsi="Arial"/>
          <w:b/>
          <w:color w:val="550060"/>
          <w:sz w:val="28"/>
        </w:rPr>
        <w:t>Zuschlagskriterien in Konzeptantwort und Gliederung mappen</w:t>
      </w:r>
    </w:p>
    <w:p>
      <w:r>
        <w:rPr>
          <w:rFonts w:ascii="Arial" w:hAnsi="Arial"/>
          <w:b w:val="0"/>
        </w:rPr>
        <w:t>In der Angebotsantwort wird Zuschlagskriterien in Konzeptantwort und Gliederung mappen als eigener, pruefbarer Baustein ausgearbeitet. Ziel ist, Das Angebot muss Bewertungslogik und Leistungsverständnis aus den Ausschreibungsunterlagen spiegeln nicht nur zu benennen, sondern in konkrete Umsetzungsschritte, Verantwortlichkeiten und Review-Nachweise zu uebersetzen. Der Abschnitt nimmt den Quellhinweis Bewertungskriterium 2: Gestaltungs- und Umsetzungsqualität (60%) sichtbar auf und uebersetzt ihn in Vorgehen, Rollen, Qualitaetssicherung und Nachweise. Vor finaler Fassung müssen passende Cases, Claims, Teamangaben und offene Annahmen fachlich freigegeben werden.</w:t>
      </w:r>
    </w:p>
    <w:p>
      <w:pPr>
        <w:pStyle w:val="Heading1"/>
        <w:keepNext/>
        <w:spacing w:before="200" w:after="120"/>
      </w:pPr>
      <w:r>
        <w:rPr>
          <w:rFonts w:ascii="Arial" w:hAnsi="Arial"/>
          <w:b/>
          <w:color w:val="550060"/>
          <w:sz w:val="28"/>
        </w:rPr>
        <w:t>Leistungsanforderung in Angebotskonzept übersetzen</w:t>
      </w:r>
    </w:p>
    <w:p>
      <w:r>
        <w:rPr>
          <w:rFonts w:ascii="Arial" w:hAnsi="Arial"/>
          <w:b w:val="0"/>
        </w:rPr>
        <w:t>In der Angebotsantwort wird Leistungsanforderung in Angebotskonzept übersetzen als eigener, pruefbarer Baustein ausgearbeitet. Ziel ist, Diese Anforderung wurde aus einer priorisierten Ausschreibungsquelle extrahiert und braucht eine Angebotsantwort nicht nur zu benennen, sondern in konkrete Umsetzungsschritte, Verantwortlichkeiten und Review-Nachweise zu uebersetzen. Der Abschnitt nimmt den Quellhinweis Leistungsbeschreibung sichtbar auf und uebersetzt ihn in Vorgehen, Rollen, Qualitaetssicherung und Nachweise. Vor finaler Fassung müssen passende Cases, Claims, Teamangaben und offene Annahmen fachlich freigegeben werden.</w:t>
      </w:r>
    </w:p>
    <w:p>
      <w:pPr>
        <w:pStyle w:val="Heading1"/>
        <w:keepNext/>
        <w:spacing w:before="200" w:after="120"/>
      </w:pPr>
      <w:r>
        <w:rPr>
          <w:rFonts w:ascii="Arial" w:hAnsi="Arial"/>
          <w:b/>
          <w:color w:val="550060"/>
          <w:sz w:val="28"/>
        </w:rPr>
        <w:t>Produktionsmodell, Rollen und Logistik planen</w:t>
      </w:r>
    </w:p>
    <w:p>
      <w:r>
        <w:rPr>
          <w:rFonts w:ascii="Arial" w:hAnsi="Arial"/>
          <w:b w:val="0"/>
        </w:rPr>
        <w:t>In der Angebotsantwort wird Produktionsmodell, Rollen und Logistik planen als eigener, pruefbarer Baustein ausgearbeitet. Ziel ist, Der operative Produktionsprozess muss die tatsächlichen Lieferanforderungen erfüllen nicht nur zu benennen, sondern in konkrete Umsetzungsschritte, Verantwortlichkeiten und Review-Nachweise zu uebersetzen. Der Abschnitt nimmt den Quellhinweis Leistungspaket 1 (AP 1): Videoproduktion und Postproduktion (Pauschalfestpreise) sichtbar auf und uebersetzt ihn in Vorgehen, Rollen, Qualitaetssicherung und Nachweise. Vor finaler Fassung müssen passende Cases, Claims, Teamangaben und offene Annahmen fachlich freigegeben werden.</w:t>
      </w:r>
    </w:p>
    <w:p>
      <w:pPr>
        <w:pStyle w:val="Heading1"/>
        <w:keepNext/>
        <w:spacing w:before="200" w:after="120"/>
      </w:pPr>
      <w:r>
        <w:rPr>
          <w:rFonts w:ascii="Arial" w:hAnsi="Arial"/>
          <w:b/>
          <w:color w:val="550060"/>
          <w:sz w:val="28"/>
        </w:rPr>
        <w:t>Barrierefreiheit und Qualitätsprüfung als Prozess abbilden</w:t>
      </w:r>
    </w:p>
    <w:p>
      <w:r>
        <w:rPr>
          <w:rFonts w:ascii="Arial" w:hAnsi="Arial"/>
          <w:b w:val="0"/>
        </w:rPr>
        <w:t>In der Angebotsantwort wird Barrierefreiheit und Qualitätsprüfung als Prozess abbilden als eigener, pruefbarer Baustein ausgearbeitet. Ziel ist, Der operative Produktionsprozess muss die tatsächlichen Lieferanforderungen erfüllen nicht nur zu benennen, sondern in konkrete Umsetzungsschritte, Verantwortlichkeiten und Review-Nachweise zu uebersetzen. Der Abschnitt nimmt den Quellhinweis • Untertitel (z. B. SRT), sichtbar auf und uebersetzt ihn in Vorgehen, Rollen, Qualitaetssicherung und Nachweise. Vor finaler Fassung müssen passende Cases, Claims, Teamangaben und offene Annahmen fachlich freigegeben werden.</w:t>
      </w:r>
    </w:p>
    <w:p>
      <w:pPr>
        <w:pStyle w:val="Heading1"/>
        <w:keepNext/>
        <w:spacing w:before="200" w:after="120"/>
      </w:pPr>
      <w:r>
        <w:rPr>
          <w:rFonts w:ascii="Arial" w:hAnsi="Arial"/>
          <w:b/>
          <w:color w:val="550060"/>
          <w:sz w:val="28"/>
        </w:rPr>
        <w:t>Lieferobjekt/Abnahmeprozess planen</w:t>
      </w:r>
    </w:p>
    <w:p>
      <w:r>
        <w:rPr>
          <w:rFonts w:ascii="Arial" w:hAnsi="Arial"/>
          <w:b w:val="0"/>
        </w:rPr>
        <w:t>In der Angebotsantwort wird Lieferobjekt/Abnahmeprozess planen als eigener, pruefbarer Baustein ausgearbeitet. Ziel ist, Diese Anforderung wurde aus einer priorisierten Ausschreibungsquelle extrahiert und braucht eine Angebotsantwort nicht nur zu benennen, sondern in konkrete Umsetzungsschritte, Verantwortlichkeiten und Review-Nachweise zu uebersetzen. Der Abschnitt nimmt den Quellhinweis Die Bereitstellung erfolgt gemäß den Vorgaben unter Ziffer 2.4 sichtbar auf und uebersetzt ihn in Vorgehen, Rollen, Qualitaetssicherung und Nachweise. Vor finaler Fassung müssen passende Cases, Claims, Teamangaben und offene Annahmen fachlich freigegeben werden.</w:t>
      </w:r>
    </w:p>
    <w:p>
      <w:pPr>
        <w:pStyle w:val="Heading1"/>
        <w:keepNext/>
        <w:spacing w:before="200" w:after="120"/>
      </w:pPr>
      <w:r>
        <w:rPr>
          <w:rFonts w:ascii="Arial" w:hAnsi="Arial"/>
          <w:b/>
          <w:color w:val="550060"/>
          <w:sz w:val="28"/>
        </w:rPr>
        <w:t>Qualitäts-/Barrierefreiheitsanforderung absichern</w:t>
      </w:r>
    </w:p>
    <w:p>
      <w:r>
        <w:rPr>
          <w:rFonts w:ascii="Arial" w:hAnsi="Arial"/>
          <w:b w:val="0"/>
        </w:rPr>
        <w:t>In der Angebotsantwort wird Qualitäts-/Barrierefreiheitsanforderung absichern als eigener, pruefbarer Baustein ausgearbeitet. Ziel ist, Diese Anforderung wurde aus einer priorisierten Ausschreibungsquelle extrahiert und braucht eine Angebotsantwort nicht nur zu benennen, sondern in konkrete Umsetzungsschritte, Verantwortlichkeiten und Review-Nachweise zu uebersetzen. Der Abschnitt nimmt den Quellhinweis • ggf. projektspezifische Anforderungen (z. B. Barrierefreiheit, Formatvorgaben, sichtbar auf und uebersetzt ihn in Vorgehen, Rollen, Qualitaetssicherung und Nachweise. Vor finaler Fassung müssen passende Cases, Claims, Teamangaben und offene Annahmen fachlich freigegeben werden.</w:t>
      </w:r>
    </w:p>
    <w:p>
      <w:pPr>
        <w:pStyle w:val="Heading1"/>
        <w:keepNext/>
        <w:spacing w:before="200" w:after="120"/>
      </w:pPr>
      <w:r>
        <w:rPr>
          <w:rFonts w:ascii="Arial" w:hAnsi="Arial"/>
          <w:b/>
          <w:color w:val="550060"/>
          <w:sz w:val="28"/>
        </w:rPr>
        <w:t>Referenzanforderungen gegen Case Library und Nachweise prüfen</w:t>
      </w:r>
    </w:p>
    <w:p>
      <w:r>
        <w:rPr>
          <w:rFonts w:ascii="Arial" w:hAnsi="Arial"/>
          <w:b w:val="0"/>
        </w:rPr>
        <w:t>In der Angebotsantwort wird Referenzanforderungen gegen Case Library und Nachweise prüfen als eigener, pruefbarer Baustein ausgearbeitet. Ziel ist, Quelle mit Rolle Eigenerklärungen / Formblätter ist für die Angebotsarbeit relevant nicht nur zu benennen, sondern in konkrete Umsetzungsschritte, Verantwortlichkeiten und Review-Nachweise zu uebersetzen. Der Abschnitt nimmt den Quellhinweis FORMBLATT - REFERENZEN sichtbar auf und uebersetzt ihn in Vorgehen, Rollen, Qualitaetssicherung und Nachweise. Vor finaler Fassung müssen passende Cases, Claims, Teamangaben und offene Annahmen fachlich freigegeben werden.</w:t>
      </w:r>
    </w:p>
    <w:sectPr>
      <w:pgSz w:w="11909" w:h="16834" w:orient="portrait"/>
      <w:pgMar w:top="1080" w:right="1080" w:bottom="1080" w:left="1080" w:header="720" w:footer="720" w:gutter="0"/>
      <w:cols w:space="720"/>
      <w:docGrid w:linePitch="360"/>
      <w:headerReference w:type="default" r:id="R0ef492e97ac34c53"/>
      <w:footerReference w:type="default" r:id="R1e5de986372b4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B1D3F" w:rsidTr="1B5B1D3F" w14:paraId="23B9E935">
      <w:trPr>
        <w:trHeight w:val="300"/>
      </w:trPr>
      <w:tc>
        <w:tcPr>
          <w:tcW w:w="3005" w:type="dxa"/>
          <w:tcMar/>
        </w:tcPr>
        <w:p w:rsidR="1B5B1D3F" w:rsidP="1B5B1D3F" w:rsidRDefault="1B5B1D3F" w14:paraId="5CBCB70D" w14:textId="4841726E">
          <w:pPr>
            <w:pStyle w:val="Header"/>
            <w:bidi w:val="0"/>
            <w:ind w:left="-115"/>
            <w:jc w:val="left"/>
          </w:pPr>
        </w:p>
      </w:tc>
      <w:tc>
        <w:tcPr>
          <w:tcW w:w="3005" w:type="dxa"/>
          <w:tcMar/>
        </w:tcPr>
        <w:p w:rsidR="1B5B1D3F" w:rsidP="1B5B1D3F" w:rsidRDefault="1B5B1D3F" w14:paraId="1A883A86" w14:textId="193310AA">
          <w:pPr>
            <w:pStyle w:val="Header"/>
            <w:bidi w:val="0"/>
            <w:jc w:val="center"/>
          </w:pPr>
        </w:p>
      </w:tc>
      <w:tc>
        <w:tcPr>
          <w:tcW w:w="3005" w:type="dxa"/>
          <w:tcMar/>
        </w:tcPr>
        <w:p w:rsidR="1B5B1D3F" w:rsidP="1B5B1D3F" w:rsidRDefault="1B5B1D3F" w14:paraId="6538319C" w14:textId="1EF0FE94">
          <w:pPr>
            <w:pStyle w:val="Header"/>
            <w:bidi w:val="0"/>
            <w:ind w:right="-115"/>
            <w:jc w:val="right"/>
          </w:pPr>
        </w:p>
      </w:tc>
    </w:tr>
  </w:tbl>
  <w:p w:rsidR="1B5B1D3F" w:rsidP="1B5B1D3F" w:rsidRDefault="1B5B1D3F" w14:paraId="1B3C13F9" w14:textId="2131C18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B1D3F" w:rsidP="1B5B1D3F" w:rsidRDefault="1B5B1D3F" w14:paraId="1B04A1FC" w14:textId="6A71372B">
    <w:pPr>
      <w:bidi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1B5B1D3F">
      <w:drawing>
        <wp:inline wp14:editId="3B5CDE30" wp14:anchorId="0E6E1853">
          <wp:extent cx="3657600" cy="571500"/>
          <wp:effectExtent l="0" t="0" r="0" b="0"/>
          <wp:docPr id="455476434" name="" title=""/>
          <wp:cNvGraphicFramePr>
            <a:graphicFrameLocks noChangeAspect="1"/>
          </wp:cNvGraphicFramePr>
          <a:graphic>
            <a:graphicData uri="http://schemas.openxmlformats.org/drawingml/2006/picture">
              <pic:pic>
                <pic:nvPicPr>
                  <pic:cNvPr id="0" name=""/>
                  <pic:cNvPicPr/>
                </pic:nvPicPr>
                <pic:blipFill>
                  <a:blip r:embed="R969f2bbaa2f3475c">
                    <a:extLst>
                      <a:ext xmlns:a="http://schemas.openxmlformats.org/drawingml/2006/main" uri="{28A0092B-C50C-407E-A947-70E740481C1C}">
                        <a14:useLocalDpi val="0"/>
                      </a:ext>
                    </a:extLst>
                  </a:blip>
                  <a:stretch>
                    <a:fillRect/>
                  </a:stretch>
                </pic:blipFill>
                <pic:spPr>
                  <a:xfrm>
                    <a:off x="0" y="0"/>
                    <a:ext cx="3657600" cy="571500"/>
                  </a:xfrm>
                  <a:prstGeom prst="rect">
                    <a:avLst/>
                  </a:prstGeom>
                </pic:spPr>
              </pic:pic>
            </a:graphicData>
          </a:graphic>
        </wp:inline>
      </w:drawing>
    </w:r>
  </w:p>
  <w:p w:rsidR="1B5B1D3F" w:rsidP="1B5B1D3F" w:rsidRDefault="1B5B1D3F" w14:paraId="43D23DB2" w14:textId="39C339D0">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19"/>
        <w:szCs w:val="19"/>
        <w:lang w:val="de-DE"/>
      </w:rPr>
    </w:pPr>
    <w:r w:rsidRPr="1B5B1D3F" w:rsidR="1B5B1D3F">
      <w:rPr>
        <w:rFonts w:ascii="Arial" w:hAnsi="Arial" w:eastAsia="Arial" w:cs="Arial"/>
        <w:b w:val="0"/>
        <w:bCs w:val="0"/>
        <w:i w:val="0"/>
        <w:iCs w:val="0"/>
        <w:caps w:val="0"/>
        <w:smallCaps w:val="0"/>
        <w:noProof w:val="0"/>
        <w:color w:val="000000" w:themeColor="text1" w:themeTint="FF" w:themeShade="FF"/>
        <w:sz w:val="19"/>
        <w:szCs w:val="19"/>
        <w:lang w:val="de-DE"/>
      </w:rPr>
      <w:t>CONTENTKUECHE GMBH HERZOGSTRASSE 64 80803 MÜNCHEN­­­</w:t>
    </w:r>
  </w:p>
  <w:p w:rsidR="1B5B1D3F" w:rsidP="1B5B1D3F" w:rsidRDefault="1B5B1D3F" w14:paraId="74AAE62E" w14:textId="26F75517">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4CC76935" w14:textId="1FDC461D">
    <w:pPr>
      <w:tabs>
        <w:tab w:val="center" w:leader="none" w:pos="4680"/>
        <w:tab w:val="right" w:leader="none" w:pos="9360"/>
      </w:tabs>
      <w:bidi w:val="0"/>
      <w:spacing w:after="0" w:line="240" w:lineRule="auto"/>
      <w:ind w:left="-1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6CA0E7CB" w14:textId="6C5E8986">
    <w:pPr>
      <w:tabs>
        <w:tab w:val="center" w:leader="none" w:pos="4680"/>
        <w:tab w:val="right" w:leader="none" w:pos="9360"/>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705EEB78" w14:textId="11A3A6BF">
    <w:pPr>
      <w:pStyle w:val="Header"/>
      <w:bidi w:val="0"/>
    </w:pPr>
  </w:p>
</w:hdr>
</file>

<file path=word/numbering.xml><?xml version="1.0" encoding="utf-8"?>
<w:numbering xmlns:w="http://schemas.openxmlformats.org/wordprocessingml/2006/main">
  <w:abstractNum xmlns:w="http://schemas.openxmlformats.org/wordprocessingml/2006/main" w:abstractNumId="10">
    <w:nsid w:val="c743e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ec93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4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cfa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f57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fed0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4a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62a72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
      <w:lvlJc w:val="left"/>
      <w:pPr>
        <w:ind w:left="1788" w:hanging="360"/>
      </w:pPr>
      <w:rPr>
        <w:rFonts w:hint="default" w:ascii="Wingdings" w:hAnsi="Wingdings"/>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Wingdings" w:hAnsi="Wingdings"/>
      </w:rPr>
    </w:lvl>
    <w:lvl xmlns:w="http://schemas.openxmlformats.org/wordprocessingml/2006/main" w:ilvl="4">
      <w:start w:val="1"/>
      <w:numFmt w:val="bullet"/>
      <w:lvlText w:val=""/>
      <w:lvlJc w:val="left"/>
      <w:pPr>
        <w:ind w:left="3948" w:hanging="360"/>
      </w:pPr>
      <w:rPr>
        <w:rFonts w:hint="default" w:ascii="Wingdings" w:hAnsi="Wingdings"/>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Wingdings" w:hAnsi="Wingdings"/>
      </w:rPr>
    </w:lvl>
    <w:lvl xmlns:w="http://schemas.openxmlformats.org/wordprocessingml/2006/main" w:ilvl="7">
      <w:start w:val="1"/>
      <w:numFmt w:val="bullet"/>
      <w:lvlText w:val=""/>
      <w:lvlJc w:val="left"/>
      <w:pPr>
        <w:ind w:left="6108" w:hanging="360"/>
      </w:pPr>
      <w:rPr>
        <w:rFonts w:hint="default" w:ascii="Wingdings" w:hAnsi="Wingdings"/>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
    <w:nsid w:val="5a018cb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
    <w:nsid w:val="6c8b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1D3C"/>
    <w:rsid w:val="002F3C9D"/>
    <w:rsid w:val="00722973"/>
    <w:rsid w:val="00F33E8D"/>
    <w:rsid w:val="019AE502"/>
    <w:rsid w:val="01BF6C7C"/>
    <w:rsid w:val="02B465B5"/>
    <w:rsid w:val="035C6A7B"/>
    <w:rsid w:val="0370A3FD"/>
    <w:rsid w:val="040783B7"/>
    <w:rsid w:val="0539761B"/>
    <w:rsid w:val="05819290"/>
    <w:rsid w:val="05CAD516"/>
    <w:rsid w:val="067FFB18"/>
    <w:rsid w:val="07E30A4B"/>
    <w:rsid w:val="07E5B80C"/>
    <w:rsid w:val="07EC5233"/>
    <w:rsid w:val="092B503C"/>
    <w:rsid w:val="09A43C94"/>
    <w:rsid w:val="0A224179"/>
    <w:rsid w:val="0B1DC1E2"/>
    <w:rsid w:val="0B201DA5"/>
    <w:rsid w:val="0BE13B5B"/>
    <w:rsid w:val="0BEEA654"/>
    <w:rsid w:val="0EDF157C"/>
    <w:rsid w:val="101BD140"/>
    <w:rsid w:val="107F7E6D"/>
    <w:rsid w:val="111C3D8F"/>
    <w:rsid w:val="1181C198"/>
    <w:rsid w:val="141BA49F"/>
    <w:rsid w:val="14B6073B"/>
    <w:rsid w:val="14EB4A9B"/>
    <w:rsid w:val="15F3E892"/>
    <w:rsid w:val="16EECC0F"/>
    <w:rsid w:val="18241936"/>
    <w:rsid w:val="1832DAA1"/>
    <w:rsid w:val="18DC11DD"/>
    <w:rsid w:val="196DFCC5"/>
    <w:rsid w:val="19B3696C"/>
    <w:rsid w:val="1A02A262"/>
    <w:rsid w:val="1A7DDD73"/>
    <w:rsid w:val="1B0862B4"/>
    <w:rsid w:val="1B22D5ED"/>
    <w:rsid w:val="1B5B1D3F"/>
    <w:rsid w:val="1BE38CB5"/>
    <w:rsid w:val="1D3F0C06"/>
    <w:rsid w:val="1FA670B3"/>
    <w:rsid w:val="20B27B4E"/>
    <w:rsid w:val="2137D2B4"/>
    <w:rsid w:val="219B1D3C"/>
    <w:rsid w:val="227C7298"/>
    <w:rsid w:val="228A3A09"/>
    <w:rsid w:val="235A9A22"/>
    <w:rsid w:val="24CC8410"/>
    <w:rsid w:val="26002996"/>
    <w:rsid w:val="26D20BFC"/>
    <w:rsid w:val="27053B35"/>
    <w:rsid w:val="27085710"/>
    <w:rsid w:val="27A8BFF5"/>
    <w:rsid w:val="28CA1A32"/>
    <w:rsid w:val="2B66BAA6"/>
    <w:rsid w:val="2B7702DC"/>
    <w:rsid w:val="2C154158"/>
    <w:rsid w:val="2C232603"/>
    <w:rsid w:val="2EDB0A52"/>
    <w:rsid w:val="3005C566"/>
    <w:rsid w:val="30A5CD49"/>
    <w:rsid w:val="30E698EB"/>
    <w:rsid w:val="339BCD4F"/>
    <w:rsid w:val="34268B9C"/>
    <w:rsid w:val="34B17B34"/>
    <w:rsid w:val="3516A3A3"/>
    <w:rsid w:val="3530B13E"/>
    <w:rsid w:val="35B7C8B7"/>
    <w:rsid w:val="35E63F5F"/>
    <w:rsid w:val="368F3252"/>
    <w:rsid w:val="36A06AD2"/>
    <w:rsid w:val="36FBB565"/>
    <w:rsid w:val="378DCAC6"/>
    <w:rsid w:val="38C86BA7"/>
    <w:rsid w:val="3905FCF5"/>
    <w:rsid w:val="3A0E64B2"/>
    <w:rsid w:val="3A9A3065"/>
    <w:rsid w:val="3ADB6AEC"/>
    <w:rsid w:val="3C554361"/>
    <w:rsid w:val="3EEEA96E"/>
    <w:rsid w:val="3F59D754"/>
    <w:rsid w:val="428FD0A3"/>
    <w:rsid w:val="4401160E"/>
    <w:rsid w:val="442FDE6A"/>
    <w:rsid w:val="45985B11"/>
    <w:rsid w:val="45AEC81D"/>
    <w:rsid w:val="45EF20EB"/>
    <w:rsid w:val="47F0C47A"/>
    <w:rsid w:val="484BC00B"/>
    <w:rsid w:val="48AE32CC"/>
    <w:rsid w:val="48DFAA6E"/>
    <w:rsid w:val="48FA8D32"/>
    <w:rsid w:val="490C4199"/>
    <w:rsid w:val="497E6D99"/>
    <w:rsid w:val="4A08C82A"/>
    <w:rsid w:val="4C31E5C4"/>
    <w:rsid w:val="4C837BDF"/>
    <w:rsid w:val="4CC1BD43"/>
    <w:rsid w:val="4CE4F6DF"/>
    <w:rsid w:val="4E5B20E0"/>
    <w:rsid w:val="4EE7587C"/>
    <w:rsid w:val="5035FBA0"/>
    <w:rsid w:val="50EA1F38"/>
    <w:rsid w:val="52ACBD63"/>
    <w:rsid w:val="5372843D"/>
    <w:rsid w:val="55186A1C"/>
    <w:rsid w:val="55D0EFBC"/>
    <w:rsid w:val="560CECA0"/>
    <w:rsid w:val="56143246"/>
    <w:rsid w:val="5631BFAB"/>
    <w:rsid w:val="58D88541"/>
    <w:rsid w:val="5A1574A6"/>
    <w:rsid w:val="5A87A8C1"/>
    <w:rsid w:val="5CC0DA6D"/>
    <w:rsid w:val="5D126851"/>
    <w:rsid w:val="61E96314"/>
    <w:rsid w:val="62C997A1"/>
    <w:rsid w:val="6445284C"/>
    <w:rsid w:val="64593BF7"/>
    <w:rsid w:val="658BE53F"/>
    <w:rsid w:val="65C309E2"/>
    <w:rsid w:val="65F3174A"/>
    <w:rsid w:val="6675A7A8"/>
    <w:rsid w:val="67529F0F"/>
    <w:rsid w:val="67DBF181"/>
    <w:rsid w:val="69A6F1AB"/>
    <w:rsid w:val="6A628CF2"/>
    <w:rsid w:val="6A72EF6A"/>
    <w:rsid w:val="6C27D684"/>
    <w:rsid w:val="6C5235F2"/>
    <w:rsid w:val="6C7460BD"/>
    <w:rsid w:val="6CCDE901"/>
    <w:rsid w:val="6D090513"/>
    <w:rsid w:val="6D5D7310"/>
    <w:rsid w:val="6D788F1F"/>
    <w:rsid w:val="6DFFF6CB"/>
    <w:rsid w:val="6FCD69B2"/>
    <w:rsid w:val="709C7DB3"/>
    <w:rsid w:val="70B63C29"/>
    <w:rsid w:val="70C2B3AA"/>
    <w:rsid w:val="71018705"/>
    <w:rsid w:val="71052883"/>
    <w:rsid w:val="71D92B95"/>
    <w:rsid w:val="71FF8055"/>
    <w:rsid w:val="7359BCB8"/>
    <w:rsid w:val="755308A3"/>
    <w:rsid w:val="75BDAC70"/>
    <w:rsid w:val="75FF2060"/>
    <w:rsid w:val="77D1548B"/>
    <w:rsid w:val="789E1CDA"/>
    <w:rsid w:val="7A5EE70F"/>
    <w:rsid w:val="7B2D8ED5"/>
    <w:rsid w:val="7B734D26"/>
    <w:rsid w:val="7BC54750"/>
    <w:rsid w:val="7C140143"/>
    <w:rsid w:val="7C34DABF"/>
    <w:rsid w:val="7D041E3F"/>
    <w:rsid w:val="7D238ED0"/>
    <w:rsid w:val="7D6B592E"/>
    <w:rsid w:val="7F65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D3C"/>
  <w15:chartTrackingRefBased/>
  <w15:docId w15:val="{4A004BA4-9D24-47DB-963B-FAAB8F30DA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80" w:line="288" w:lineRule="auto"/>
    </w:pPr>
    <w:rPr>
      <w:rFonts w:ascii="Arial" w:hAnsi="Arial"/>
      <w:color w:val="3B3B3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customStyle="1" w:styleId="Title">
    <w:name w:val="Title"/>
    <w:pPr>
      <w:spacing w:after="160"/>
    </w:pPr>
    <w:rPr>
      <w:rFonts w:ascii="Arial" w:hAnsi="Arial"/>
      <w:b/>
      <w:color w:val="550060"/>
      <w:sz w:val="40"/>
    </w:rPr>
  </w:style>
  <w:style w:type="paragraph" w:customStyle="1" w:styleId="Subtitle">
    <w:name w:val="Subtitle"/>
    <w:rPr>
      <w:rFonts w:ascii="Arial" w:hAnsi="Arial"/>
      <w:color w:val="707070"/>
      <w:sz w:val="22"/>
    </w:rPr>
  </w:style>
  <w:style w:type="paragraph" w:customStyle="1" w:styleId="Heading1">
    <w:name w:val="heading 1"/>
    <w:pPr>
      <w:keepNext/>
      <w:spacing w:before="200" w:after="120"/>
    </w:pPr>
    <w:rPr>
      <w:rFonts w:ascii="Arial" w:hAnsi="Arial"/>
      <w:b/>
      <w:color w:val="550060"/>
      <w:sz w:val="28"/>
    </w:rPr>
  </w:style>
  <w:style w:type="paragraph" w:customStyle="1" w:styleId="Heading2">
    <w:name w:val="heading 2"/>
    <w:pPr>
      <w:keepNext/>
      <w:spacing w:before="160" w:after="80"/>
    </w:pPr>
    <w:rPr>
      <w:rFonts w:ascii="Arial" w:hAnsi="Arial"/>
      <w:b/>
      <w:color w:val="C60A7B"/>
      <w:sz w:val="24"/>
    </w:rPr>
  </w:style>
  <w:style w:type="paragraph" w:customStyle="1" w:styleId="Heading3">
    <w:name w:val="heading 3"/>
    <w:pPr>
      <w:keepNext/>
      <w:spacing w:before="120" w:after="60"/>
    </w:pPr>
    <w:rPr>
      <w:rFonts w:ascii="Arial" w:hAnsi="Arial"/>
      <w:b/>
      <w:color w:val="3B3B3B"/>
      <w:sz w:val="22"/>
    </w:rPr>
  </w:style>
  <w:style w:type="paragraph" w:customStyle="1" w:styleId="ListBullet">
    <w:name w:val="List Bullet"/>
    <w:pPr>
      <w:spacing w:after="40" w:line="276" w:lineRule="auto"/>
    </w:pPr>
    <w:rPr>
      <w:rFonts w:ascii="Arial" w:hAnsi="Arial"/>
      <w:sz w:val="21"/>
    </w:rPr>
  </w:style>
  <w:style w:type="paragraph" w:customStyle="1" w:styleId="ListNumber">
    <w:name w:val="List Number"/>
    <w:pPr>
      <w:spacing w:after="40" w:line="276"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0ef492e97ac34c53" Type="http://schemas.openxmlformats.org/officeDocument/2006/relationships/header" Target="header.xml"/><Relationship Id="R1e5de986372b4433" Type="http://schemas.openxmlformats.org/officeDocument/2006/relationships/footer" Target="footer.xml"/><Relationship Id="R867b28c5a9cd48bf" Type="http://schemas.openxmlformats.org/officeDocument/2006/relationships/numbering" Target="numbering.xml"/><Relationship Id="R9565828c7fb54d06"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1554e5f296e542d2"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b29c85304f264645" Type="http://schemas.openxmlformats.org/officeDocument/2006/relationships/hyperlink" Target="https://contentkueche-my.sharepoint.com/:w:/r/personal/sarah_loderer_contentkueche_de/_layouts/15/Doc.aspx?sourcedoc=%7B24a37b00-5449-4f90-879c-2d404079bea9%7D&amp;action=edit&amp;wdPreviousSession=96d3a1b0-ef51-9458-f103-2ed12ff0066d" TargetMode="External"/><Relationship Id="R9e356d2d20414c31" Type="http://schemas.openxmlformats.org/officeDocument/2006/relationships/hyperlink" Target="mailto:invoice@contentkueche.de" TargetMode="External"/><Relationship Id="R8ab09d76c8a04c8f" Type="http://schemas.openxmlformats.org/officeDocument/2006/relationships/image" Target="../media/image2.png"/><Relationship Id="R0058f56995f84733" Type="http://schemas.openxmlformats.org/officeDocument/2006/relationships/image" Target="../media/image3.png"/><Relationship Id="Rbe54518979d94449" Type="http://schemas.openxmlformats.org/officeDocument/2006/relationships/image" Target="../media/image4.png"/><Relationship Id="R4cd823582438482f" Type="http://schemas.openxmlformats.org/officeDocument/2006/relationships/image" Target="../media/image5.png"/><Relationship Id="rId620691723" Type="http://schemas.openxmlformats.org/officeDocument/2006/relationships/image" Target="../media/image6.png"/><Relationship Id="rId1458971187" Type="http://schemas.openxmlformats.org/officeDocument/2006/relationships/image" Target="../media/image7.png"/><Relationship Id="Rdc06f962f6174fe3" Type="http://schemas.openxmlformats.org/officeDocument/2006/relationships/hyperlink" Target="https://contentkueche.sharepoint.com/:b:/s/contentkueche/EZCwkTnhTlFNjLwNCKxatnoBAWw3RwNvjhxqv9BYb1hFsQ?e=IMsoFK" TargetMode="External"/></Relationships>
</file>

<file path=word/_rels/header.xml.rels><?xml version='1.0' encoding='UTF-8' standalone='yes'?>
<Relationships xmlns="http://schemas.openxmlformats.org/package/2006/relationships"><Relationship Id="R969f2bbaa2f3475c" Type="http://schemas.openxmlformats.org/officeDocument/2006/relationships/image" Target="../media/image.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CA6CF3DD80142B911F7593B11EA77" ma:contentTypeVersion="16" ma:contentTypeDescription="Ein neues Dokument erstellen." ma:contentTypeScope="" ma:versionID="68796f86ff1194f16e8751f53627371e">
  <xsd:schema xmlns:xsd="http://www.w3.org/2001/XMLSchema" xmlns:xs="http://www.w3.org/2001/XMLSchema" xmlns:p="http://schemas.microsoft.com/office/2006/metadata/properties" xmlns:ns2="0e74a0ad-f44d-49b8-9a38-e8016d9d75d7" xmlns:ns3="a9f90c52-b20d-4634-9e59-a3c5801722c9" targetNamespace="http://schemas.microsoft.com/office/2006/metadata/properties" ma:root="true" ma:fieldsID="a0dbbaa2b8ace8a73990de3643c994aa" ns2:_="" ns3:_="">
    <xsd:import namespace="0e74a0ad-f44d-49b8-9a38-e8016d9d75d7"/>
    <xsd:import namespace="a9f90c52-b20d-4634-9e59-a3c5801722c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a0ad-f44d-49b8-9a38-e8016d9d75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90c52-b20d-4634-9e59-a3c5801722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fb2e15f-4caf-4a01-81df-fdaf272164d7}" ma:internalName="TaxCatchAll" ma:showField="CatchAllData" ma:web="a9f90c52-b20d-4634-9e59-a3c5801722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4a0ad-f44d-49b8-9a38-e8016d9d75d7">
      <Terms xmlns="http://schemas.microsoft.com/office/infopath/2007/PartnerControls"/>
    </lcf76f155ced4ddcb4097134ff3c332f>
    <TaxCatchAll xmlns="a9f90c52-b20d-4634-9e59-a3c5801722c9" xsi:nil="true"/>
  </documentManagement>
</p:properties>
</file>

<file path=customXml/itemProps1.xml><?xml version="1.0" encoding="utf-8"?>
<ds:datastoreItem xmlns:ds="http://schemas.openxmlformats.org/officeDocument/2006/customXml" ds:itemID="{F12500A5-9430-4ED0-BCC8-3D5231F93933}"/>
</file>

<file path=customXml/itemProps2.xml><?xml version="1.0" encoding="utf-8"?>
<ds:datastoreItem xmlns:ds="http://schemas.openxmlformats.org/officeDocument/2006/customXml" ds:itemID="{9369604F-156F-4A9B-B301-6BF21B8CE92C}"/>
</file>

<file path=customXml/itemProps3.xml><?xml version="1.0" encoding="utf-8"?>
<ds:datastoreItem xmlns:ds="http://schemas.openxmlformats.org/officeDocument/2006/customXml" ds:itemID="{375915FC-A1CA-4D48-AF47-918149A62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Loderer</dc:creator>
  <keywords/>
  <dc:description/>
  <lastModifiedBy>Sarah Loderer</lastModifiedBy>
  <dcterms:created xsi:type="dcterms:W3CDTF">2024-10-21T14:23:27.0000000Z</dcterms:created>
  <dcterms:modified xsi:type="dcterms:W3CDTF">2026-01-19T09:41:42.1096937Z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0x010100E1FCA6CF3DD80142B911F7593B11EA77</vt:lpwstr>
  </property>
  <property fmtid="{D5CDD505-2E9C-101B-9397-08002B2CF9AE}" pid="3" name="MediaServiceImageTags">
    <vt:lpwstr/>
  </property>
</Properties>
</file>