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Formalia / Recht / Erklärungen</w:t>
      </w:r>
    </w:p>
    <w:p>
      <w:pPr>
        <w:pStyle w:val="Heading1"/>
        <w:keepNext/>
        <w:spacing w:before="200" w:after="120"/>
      </w:pPr>
      <w:r>
        <w:rPr>
          <w:rFonts w:ascii="Arial" w:hAnsi="Arial"/>
          <w:b/>
          <w:color w:val="550060"/>
          <w:sz w:val="28"/>
        </w:rPr>
        <w:t>Zweck und Paketlogik</w:t>
      </w:r>
    </w:p>
    <w:p>
      <w:r>
        <w:rPr>
          <w:rFonts w:ascii="Arial" w:hAnsi="Arial"/>
          <w:b w:val="0"/>
        </w:rPr>
        <w:t>Diese Übersicht bündelt die für die Angebotsmappe vorgesehenen Formulare, Erklärungen und Bestätigungsfelder. Die Prüfung richtet sich auf Vollständigkeit, einheitliche Schreibweise der Bieterin, konsistente Verfahrensdaten und die Trennung zwischen vorbefüllbaren Unternehmensdaten und autorisierten Bestätigungen.</w:t>
      </w:r>
    </w:p>
    <w:p>
      <w:r>
        <w:rPr>
          <w:rFonts w:ascii="Arial" w:hAnsi="Arial"/>
          <w:b w:val="0"/>
        </w:rPr>
        <w:t>Formulartexte bleiben in der Fassung der Vergabeunterlagen. Ergänzt werden nur eindeutig zuordenbare Angaben, Anlagenbezüge und Bestätigungsfelder. Das Verfahren betrifft die Rahmenvereinbarung zur Erstellung von Videobeiträgen und Livestreams mit der Vergabenummer 1954/2026.</w:t>
      </w:r>
    </w:p>
    <w:p>
      <w:pPr>
        <w:pStyle w:val="Heading1"/>
        <w:keepNext/>
        <w:spacing w:before="200" w:after="120"/>
      </w:pPr>
      <w:r>
        <w:rPr>
          <w:rFonts w:ascii="Arial" w:hAnsi="Arial"/>
          <w:b/>
          <w:color w:val="550060"/>
          <w:sz w:val="28"/>
        </w:rPr>
        <w:t>Verfahrens- und Stammdaten</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Feld</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Angabe</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Verwendung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Auftraggeberin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Bundesrepublik Deutschland, vertreten durch das Bundesministerium für Umwelt, Klimaschutz, Naturschutz und nukleare Sicherheit</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Angebotsschreiben und Vertragsbezug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Vergabenummer</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1954/2026</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Kopfzeilen der Formulare</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Verfahren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Offenes Verfahren zur Rahmenvereinbarung</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 und Eignungsunterlagen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Angebotsfrist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23.07.2026, 10:00 Uhr</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Fristenkontrolle</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Zuschlags-/Bindefrist</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30.09.2026</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Angebotsmappe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Bieterin</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contentkueche GmbH</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einheitliche Firmenbezeichnung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Anschrift</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Herzogstr. 64, 80803 München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Stammdatenfelder</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Sitz / Register</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München, Amtsgericht München, HRB 193736</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Unternehmensdarstellung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Geschäftsführung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Nadine Meyer</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Vertretungs- und Kontaktdatenfelder</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USt-IdNr.</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DE278991257</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Steuer- und Unternehmensdatenfelder</w:t>
            </w:r>
          </w:p>
        </w:tc>
      </w:tr>
    </w:tbl>
    <w:p>
      <w:pPr>
        <w:pStyle w:val="Heading1"/>
        <w:keepNext/>
        <w:spacing w:before="200" w:after="120"/>
      </w:pPr>
      <w:r>
        <w:rPr>
          <w:rFonts w:ascii="Arial" w:hAnsi="Arial"/>
          <w:b/>
          <w:color w:val="550060"/>
          <w:sz w:val="28"/>
        </w:rPr>
        <w:t>Formular- und Erklärungsübersicht</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Formularbereich</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Vorbefüllte Angabe</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Bestätigungsfeld</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Angebotsschreiben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Bieterin, Anschrift, E-Mail, Telefonnummer, Vergabenummer und Auftraggeberin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Projektleitung, Stellvertretung, Steuer-/Skonto-Auswahl, Datum und Zeichnung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Unternehmensdarstellung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Firmenbezeichnung, Rechtsform, Sitz, Anschrift, Registergericht, Registernummer, Geschäftsführung, Unternehmensgegenstand</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aktuelle Unternehmensgröße und ggf. ergänzende Kontaktdaten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Umsatz</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Tabellenstruktur für drei abgeschlossene Geschäftsjahre</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Gesamtumsatz und Umsatz im Tätigkeitsbereich des Auftrags</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Berufs- bzw. Betriebshaftpflicht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Versicherer AXA Versicherung AG, Versicherungsnummer 20240603307, Deckung 3.000.000 EUR pauschal für Personen-, Sach- und Vermögensschäden, Nachweiszeitraum Beginn 28.09.2021 und Ablauf 28.09.2026</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Auswahl der passenden Versicherungsoption und Anlagebezug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Ausschlussgründe, Russland-Sanktionen, Neutralität</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Formularwortlaut unverändert; Auswahlfelder je Erklärung gebündelt</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autorisierte Ja/Nein-Auswahl und etwaige Erläuterung bei Abweichung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Unteraufträge, Eignungsleihe, Bietergemeinschaft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Formularführung auf Einzelangebot der contentkueche GmbH ausgerichtet</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Aufnahme benannter Dritter nur mit Rolle, Leistungsteil und Verpflichtungserklärung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Personal und Konzeptunterlage</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Firmenbezeichnung, Vergabenummer, Team- und Konzeptabschnitte aus der Angebotsmappe</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personenscharfe Rollen, Projektleitung und Anlagenkonsistenz</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Datenschutz / Auftragsverarbeitung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Vertragspartnerdaten der contentkueche GmbH</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Weisungsberechtigte, technische und organisatorische Maßnahmen, Subunternehmen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Barrierefreie PDF-Abgabe</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technische Dokumentlogik für PDF-Anlagen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Export- und Prüfschritt für getaggte Dokumente</w:t>
            </w:r>
          </w:p>
        </w:tc>
      </w:tr>
    </w:tbl>
    <w:p>
      <w:pPr>
        <w:pStyle w:val="Heading1"/>
        <w:keepNext/>
        <w:spacing w:before="200" w:after="120"/>
      </w:pPr>
      <w:r>
        <w:rPr>
          <w:rFonts w:ascii="Arial" w:hAnsi="Arial"/>
          <w:b/>
          <w:color w:val="550060"/>
          <w:sz w:val="28"/>
        </w:rPr>
        <w:t>Füll- und Konsistenzregeln</w:t>
      </w:r>
    </w:p>
    <w:p>
      <w:pPr>
        <w:pStyle w:val="ListBullet"/>
      </w:pPr>
      <w:r>
        <w:rPr>
          <w:rFonts w:ascii="Arial" w:hAnsi="Arial"/>
          <w:b w:val="0"/>
        </w:rPr>
        <w:t>Bietername, Rechtsform und Anschrift werden in allen Formularen identisch geführt: contentkueche GmbH, Herzogstr. 64, 80803 München.</w:t>
      </w:r>
    </w:p>
    <w:p>
      <w:pPr>
        <w:pStyle w:val="ListBullet"/>
      </w:pPr>
      <w:r>
        <w:rPr>
          <w:rFonts w:ascii="Arial" w:hAnsi="Arial"/>
          <w:b w:val="0"/>
        </w:rPr>
        <w:t>Summenfelder im Angebotsschreiben werden bei der Rahmenvereinbarung nicht aus dem Preisblatt übertragen.</w:t>
      </w:r>
    </w:p>
    <w:p>
      <w:pPr>
        <w:pStyle w:val="ListBullet"/>
      </w:pPr>
      <w:r>
        <w:rPr>
          <w:rFonts w:ascii="Arial" w:hAnsi="Arial"/>
          <w:b w:val="0"/>
        </w:rPr>
        <w:t>Eigenerklärungen werden nicht paraphrasiert; die Auswahl erfolgt im jeweiligen Formular.</w:t>
      </w:r>
    </w:p>
    <w:p>
      <w:pPr>
        <w:pStyle w:val="ListBullet"/>
      </w:pPr>
      <w:r>
        <w:rPr>
          <w:rFonts w:ascii="Arial" w:hAnsi="Arial"/>
          <w:b w:val="0"/>
        </w:rPr>
        <w:t>Signaturfelder führen nur Datum, Ort und zeichnungsberechtigte Person aus der Angebotsmappe.</w:t>
      </w:r>
    </w:p>
    <w:p>
      <w:pPr>
        <w:pStyle w:val="ListBullet"/>
      </w:pPr>
      <w:r>
        <w:rPr>
          <w:rFonts w:ascii="Arial" w:hAnsi="Arial"/>
          <w:b w:val="0"/>
        </w:rPr>
        <w:t>Unterauftragnehmer, Eignungsverleiher und Mitglieder einer Gemeinschaft werden nur aufgenommen, wenn sie mit vollständiger Bezeichnung, Leistungsteil und Verpflichtungserklärung benannt sind.</w:t>
      </w:r>
    </w:p>
    <w:p>
      <w:pPr>
        <w:pStyle w:val="ListBullet"/>
      </w:pPr>
      <w:r>
        <w:rPr>
          <w:rFonts w:ascii="Arial" w:hAnsi="Arial"/>
          <w:b w:val="0"/>
        </w:rPr>
        <w:t>Anlagenbezeichnungen werden in Angebotsschreiben, Eignungsformularen und PDF-Dateien gleichlautend geführt.</w:t>
      </w:r>
    </w:p>
    <w:p>
      <w:pPr>
        <w:pStyle w:val="Heading1"/>
        <w:keepNext/>
        <w:spacing w:before="200" w:after="120"/>
      </w:pPr>
      <w:r>
        <w:rPr>
          <w:rFonts w:ascii="Arial" w:hAnsi="Arial"/>
          <w:b/>
          <w:color w:val="550060"/>
          <w:sz w:val="28"/>
        </w:rPr>
        <w:t>Anlagenlogik für die Angebotsmappe</w:t>
      </w:r>
    </w:p>
    <w:p>
      <w:r>
        <w:rPr>
          <w:rFonts w:ascii="Arial" w:hAnsi="Arial"/>
          <w:b w:val="0"/>
        </w:rPr>
        <w:t>Die Angebotsmappe wird als geschlossene Formularsammlung aufgebaut: Angebotsschreiben, leistungsbezogene Unterlage, Erfahrung Personal, Unternehmensdarstellung, Umsatz, Versicherungsnachweis, Ausschluss- und Sanktionserklärungen, Neutralitätserklärung, Unterauftrags-/Eignungsleihe-Unterlagen, Referenzen, Personalübersicht sowie AVV-Anhänge. PDF-Anlagen erhalten eine barrierearme Dokumentstruktur mit Titel, Überschriftenlogik und tagfähiger Tabellenstruktur.</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