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xml" ContentType="application/vnd.openxmlformats-officedocument.wordprocessingml.footer+xml"/>
  <Override PartName="/word/header.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pPr>
        <w:pStyle w:val="Title"/>
        <w:keepNext/>
        <w:spacing w:after="160"/>
        <w:jc w:val="left"/>
      </w:pPr>
      <w:r>
        <w:rPr>
          <w:rFonts w:ascii="Arial" w:hAnsi="Arial"/>
          <w:b/>
          <w:color w:val="550060"/>
          <w:sz w:val="40"/>
        </w:rPr>
        <w:t>Aufgabe 1a: Gesamtkonzept Kurzreportage Sozialer Klimaschutz</w:t>
      </w:r>
    </w:p>
    <w:p>
      <w:pPr>
        <w:pStyle w:val="Heading1"/>
        <w:keepNext/>
        <w:spacing w:before="200" w:after="120"/>
      </w:pPr>
      <w:r>
        <w:rPr>
          <w:rFonts w:ascii="Arial" w:hAnsi="Arial"/>
          <w:b/>
          <w:color w:val="550060"/>
          <w:sz w:val="28"/>
        </w:rPr>
        <w:t>Leitidee: Klimaschutz dort zeigen, wo Hitze den Alltag verändert</w:t>
      </w:r>
    </w:p>
    <w:p>
      <w:r>
        <w:rPr>
          <w:rFonts w:ascii="Arial" w:hAnsi="Arial"/>
          <w:b w:val="0"/>
        </w:rPr>
        <w:t xml:space="preserve">Arbeitstitel: </w:t>
      </w:r>
      <w:r>
        <w:rPr>
          <w:rFonts w:ascii="Arial" w:hAnsi="Arial"/>
          <w:b/>
        </w:rPr>
        <w:t>„Klimaschutz, der im Alltag ankommt“</w:t>
      </w:r>
      <w:r>
        <w:rPr>
          <w:rFonts w:ascii="Arial" w:hAnsi="Arial"/>
          <w:b w:val="0"/>
        </w:rPr>
        <w:t>. Die Kurzreportage erzählt Sozialen Klimaschutz am Beispiel kommunaler Hitzevorsorge in einem dicht bebauten Quartier. Im Mittelpunkt steht ein heißer Sommertag rund um einen Nachbarschaftstreff, der kühle Aufenthaltsräume, Beratung und niedrigschwellige Unterstützung für Menschen organisiert, die von Hitze besonders belastet sind.</w:t>
      </w:r>
    </w:p>
    <w:p>
      <w:r>
        <w:rPr>
          <w:rFonts w:ascii="Arial" w:hAnsi="Arial"/>
          <w:b w:val="0"/>
        </w:rPr>
        <w:t>Das Konzept übersetzt den politischen Begriff in eine beobachtbare Alltagssituation: Eine Straße ohne Schatten, eine ältere Bewohnerin auf dem Weg zum Treff, ein Aushang mit Hitzetipps, ein Glas Wasser auf dem Beratungstisch, eine Stadtteilkarte mit kühlen Orten. So wird nicht abstrakt über Klimaschutz gesprochen, sondern gezeigt, wie Schutz, Teilhabe und soziale Infrastruktur im Alltag zusammenwirken.</w:t>
      </w:r>
    </w:p>
    <w:p>
      <w:pPr>
        <w:pStyle w:val="Heading1"/>
        <w:keepNext/>
        <w:spacing w:before="200" w:after="120"/>
      </w:pPr>
      <w:r>
        <w:rPr>
          <w:rFonts w:ascii="Arial" w:hAnsi="Arial"/>
          <w:b/>
          <w:color w:val="550060"/>
          <w:sz w:val="28"/>
        </w:rPr>
        <w:t>Thema und Leitfigur: Ein heißer Tag im Quartier</w:t>
      </w:r>
    </w:p>
    <w:p>
      <w:r>
        <w:rPr>
          <w:rFonts w:ascii="Arial" w:hAnsi="Arial"/>
          <w:b w:val="0"/>
        </w:rPr>
        <w:t>Die Leitfigur ist die Koordinatorin eines Nachbarschaftstreffs. Sie führt durch den Beitrag, weil sie die soziale Realität im Quartier kennt: Wer kommt an heißen Tagen hierher? Welche Informationen fehlen häufig? Welche Unterstützung hilft sofort? Ihre Perspektive verbindet Nähe, Glaubwürdigkeit und organisatorische Kompetenz.</w:t>
      </w:r>
    </w:p>
    <w:p>
      <w:r>
        <w:rPr>
          <w:rFonts w:ascii="Arial" w:hAnsi="Arial"/>
          <w:b w:val="0"/>
        </w:rPr>
        <w:t>Ergänzt wird sie durch zwei Stimmen mit klarer Funktion. Eine ältere Bewohnerin schildert, wie Hitze Wege, Routinen und Entscheidungen verändert: Einkaufen früher am Morgen, längere Pausen, Suche nach Schatten, Unsicherheit bei Warnhinweisen. Eine kommunale Klimaanpassungsmanagerin ordnet ein, warum Hitzeschutz, soziale Infrastruktur und Klimaschutz zusammengedacht werden. Dadurch entsteht eine Dreieckserzählung aus Alltag, Hilfe vor Ort und fachlicher Einordnung.</w:t>
      </w:r>
    </w:p>
    <w:p>
      <w:r>
        <w:rPr>
          <w:rFonts w:ascii="Arial" w:hAnsi="Arial"/>
          <w:b w:val="0"/>
        </w:rPr>
        <w:t>Die thematische Perspektive ist bewusst eng gewählt. Hitzevorsorge eignet sich für eine Kurzreportage, weil sie Klimafolgen sichtbar macht, ohne Vorwissen vorauszusetzen. Die Zuschauer*innen erkennen sofort, worum es geht: Wer wenig ausweichen kann, braucht erreichbare Orte, verständliche Information und konkrete Unterstützung. Genau hier wird Sozialer Klimaschutz als praktische Aufgabe erfahrbar.</w:t>
      </w:r>
    </w:p>
    <w:p>
      <w:pPr>
        <w:pStyle w:val="Heading1"/>
        <w:keepNext/>
        <w:spacing w:before="200" w:after="120"/>
      </w:pPr>
      <w:r>
        <w:rPr>
          <w:rFonts w:ascii="Arial" w:hAnsi="Arial"/>
          <w:b/>
          <w:color w:val="550060"/>
          <w:sz w:val="28"/>
        </w:rPr>
        <w:t>Dramaturgie: vom körperlichen Eindruck zur politischen Einordnung</w:t>
      </w:r>
    </w:p>
    <w:p>
      <w:r>
        <w:rPr>
          <w:rFonts w:ascii="Arial" w:hAnsi="Arial"/>
          <w:b w:val="0"/>
        </w:rPr>
        <w:t>Der Beitrag folgt einem klaren Spannungsbogen. Er beginnt mit einem sinnlichen Einstieg: aufgeheizter Asphalt, eine nahezu leere Bushaltestelle ohne Schatten, langsame Schritte, Lichtreflexe, ein kurzer Blick auf ein Thermometer. Danach schneidet der Film in den kühleren Innenraum des Nachbarschaftstreffs. Der Kontrast macht die Ausgangsfrage sofort verständlich: Was bedeutet Hitze für Menschen, die ihr Umfeld nicht einfach verlassen können?</w:t>
      </w:r>
    </w:p>
    <w:p>
      <w:r>
        <w:rPr>
          <w:rFonts w:ascii="Arial" w:hAnsi="Arial"/>
          <w:b w:val="0"/>
        </w:rPr>
        <w:t>Die Reportage entwickelt sich in fünf Schritten:</w:t>
      </w:r>
    </w:p>
    <w:p>
      <w:pPr>
        <w:pStyle w:val="ListNumber"/>
      </w:pPr>
      <w:r>
        <w:rPr>
          <w:rFonts w:ascii="Arial" w:hAnsi="Arial"/>
          <w:b/>
        </w:rPr>
        <w:t>Alltagseinstieg:</w:t>
      </w:r>
      <w:r>
        <w:rPr>
          <w:rFonts w:ascii="Arial" w:hAnsi="Arial"/>
          <w:b w:val="0"/>
        </w:rPr>
        <w:t xml:space="preserve"> Hitze wird als konkrete Situation gezeigt, nicht als abstrakter Begriff.</w:t>
      </w:r>
    </w:p>
    <w:p>
      <w:pPr>
        <w:pStyle w:val="ListNumber"/>
      </w:pPr>
      <w:r>
        <w:rPr>
          <w:rFonts w:ascii="Arial" w:hAnsi="Arial"/>
          <w:b/>
        </w:rPr>
        <w:t>Problemfrage:</w:t>
      </w:r>
      <w:r>
        <w:rPr>
          <w:rFonts w:ascii="Arial" w:hAnsi="Arial"/>
          <w:b w:val="0"/>
        </w:rPr>
        <w:t xml:space="preserve"> Die Sprecherführung erklärt, warum Klimafolgen sozial unterschiedlich wirken.</w:t>
      </w:r>
    </w:p>
    <w:p>
      <w:pPr>
        <w:pStyle w:val="ListNumber"/>
      </w:pPr>
      <w:r>
        <w:rPr>
          <w:rFonts w:ascii="Arial" w:hAnsi="Arial"/>
          <w:b/>
        </w:rPr>
        <w:t>Beobachtung vor Ort:</w:t>
      </w:r>
      <w:r>
        <w:rPr>
          <w:rFonts w:ascii="Arial" w:hAnsi="Arial"/>
          <w:b w:val="0"/>
        </w:rPr>
        <w:t xml:space="preserve"> Die Koordinatorin zeigt Beratung, Aushänge, Wasser, Telefonlisten und kühle Aufenthaltsräume.</w:t>
      </w:r>
    </w:p>
    <w:p>
      <w:pPr>
        <w:pStyle w:val="ListNumber"/>
      </w:pPr>
      <w:r>
        <w:rPr>
          <w:rFonts w:ascii="Arial" w:hAnsi="Arial"/>
          <w:b/>
        </w:rPr>
        <w:t>Perspektivwechsel:</w:t>
      </w:r>
      <w:r>
        <w:rPr>
          <w:rFonts w:ascii="Arial" w:hAnsi="Arial"/>
          <w:b w:val="0"/>
        </w:rPr>
        <w:t xml:space="preserve"> Die Bewohnerin erzählt, welche Hilfe im Tagesablauf wirklich ankommt.</w:t>
      </w:r>
    </w:p>
    <w:p>
      <w:pPr>
        <w:pStyle w:val="ListNumber"/>
      </w:pPr>
      <w:r>
        <w:rPr>
          <w:rFonts w:ascii="Arial" w:hAnsi="Arial"/>
          <w:b/>
        </w:rPr>
        <w:t>Einordnung und Take-away:</w:t>
      </w:r>
      <w:r>
        <w:rPr>
          <w:rFonts w:ascii="Arial" w:hAnsi="Arial"/>
          <w:b w:val="0"/>
        </w:rPr>
        <w:t xml:space="preserve"> Die Fachstimme verbindet die Szene mit dem größeren Ziel eines wirksamen, gerechten Klimaschutzes.</w:t>
      </w:r>
    </w:p>
    <w:p>
      <w:r>
        <w:rPr>
          <w:rFonts w:ascii="Arial" w:hAnsi="Arial"/>
          <w:b w:val="0"/>
        </w:rPr>
        <w:t>Der rote Faden bleibt durchgehend verständlich: Ein heißer Tag verändert Wege, Routinen und Entscheidungen. Die Reportage zeigt zuerst die Belastung, dann die Unterstützung und schließlich die politische Bedeutung. Damit entsteht ein Beitrag, der emotional zugänglich ist, ohne werblich zu wirken, und sachlich erklärt, ohne trocken zu werden.</w:t>
      </w:r>
    </w:p>
    <w:p>
      <w:pPr>
        <w:pStyle w:val="Heading1"/>
        <w:keepNext/>
        <w:spacing w:before="200" w:after="120"/>
      </w:pPr>
      <w:r>
        <w:rPr>
          <w:rFonts w:ascii="Arial" w:hAnsi="Arial"/>
          <w:b/>
          <w:color w:val="550060"/>
          <w:sz w:val="28"/>
        </w:rPr>
        <w:t>Bildsprache und Atmosphäre: ruhig, nahbar, journalistisch</w:t>
      </w:r>
    </w:p>
    <w:p>
      <w:r>
        <w:rPr>
          <w:rFonts w:ascii="Arial" w:hAnsi="Arial"/>
          <w:b w:val="0"/>
        </w:rPr>
        <w:t>Die Bildsprache ist beobachtend, warm und präzise. Die Kamera bleibt nah an den realen Situationen: Hände an einem Wasserglas, ein markierter Stadtplan, Schatten auf dem Gehweg, Türschilder, ein kurzer Blickwechsel im Gespräch. Close-ups machen den Zusammenhang greifbar, ohne Betroffene auszustellen. Halbnahe Einstellungen geben den Protagonist*innen Raum, ihre Perspektive ruhig und glaubwürdig zu erzählen.</w:t>
      </w:r>
    </w:p>
    <w:p>
      <w:r>
        <w:rPr>
          <w:rFonts w:ascii="Arial" w:hAnsi="Arial"/>
          <w:b w:val="0"/>
        </w:rPr>
        <w:t>Für Orientierung sorgen Establishing Shots des Quartiers: enge Straßenzüge, versiegelte Flächen, Hauseingänge, Wege zum Treff, eine Bushaltestelle, der Übergang vom Außenraum in den kühleren Innenraum. Die Atmosphäre lebt vom Kontrast zwischen flirrender Außenhitze und konzentrierter, zugewandter Innenraumsituation. Der Film wirkt nicht alarmistisch, sondern aufmerksam: Er zeigt Belastung, aber auch konkrete Handlungsfähigkeit.</w:t>
      </w:r>
    </w:p>
    <w:p>
      <w:r>
        <w:rPr>
          <w:rFonts w:ascii="Arial" w:hAnsi="Arial"/>
          <w:b w:val="0"/>
        </w:rPr>
        <w:t>Die Sprecherführung bleibt klar und zurückhaltend. Sie erklärt nur, was das Bild nicht selbst leisten kann: den Zusammenhang zwischen sozialer Lage, Hitzebelastung, kommunaler Infrastruktur und Klimaschutz. O-Töne tragen die Glaubwürdigkeit. Texttafeln und Bauchbinden strukturieren, ohne das Bild zu überladen. So entsteht ein journalistischer Beitrag, der für Website und YouTube gleichermaßen verständlich bleibt.</w:t>
      </w:r>
    </w:p>
    <w:p>
      <w:pPr>
        <w:pStyle w:val="Heading1"/>
        <w:keepNext/>
        <w:spacing w:before="200" w:after="120"/>
      </w:pPr>
      <w:r>
        <w:rPr>
          <w:rFonts w:ascii="Arial" w:hAnsi="Arial"/>
          <w:b/>
          <w:color w:val="550060"/>
          <w:sz w:val="28"/>
        </w:rPr>
        <w:t>Stilmittel mit inhaltlicher Funktion</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Stilmittel</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Einsatz im Beitrag</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Funktion für Verständnis und Wirkung</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Zeitraffer</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Tagesverlauf von Morgenlicht bis Mittagshitze; zunehmende Bewegungslosigkeit im Außenraum</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Macht Hitze als Entwicklung sichtbar und verdichtet Zeit ohne lange Erklärung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Erhöhte Totale / Luftaufnahme</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Blick auf dicht bebaute Straßenzüge, versiegelte Flächen, Wege zum Nachbarschaftstreff</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Erklärt räumliche Zusammenhänge: Wo fehlen Schattenräume, wie weit sind kühle Orte entfernt?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Animation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Reduzierte Grafik mit drei Ebenen: Belastung, erreichbare Hilfe, kommunale Planung</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Übersetzt komplexe Begriffe in eine einfache visuelle Beziehung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Texttafeln</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Kurze Merksätze wie „Hitze trifft nicht alle gleich“ oder „Kühle Orte müssen erreichbar sein“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Sichert Kernaussagen auch bei Nutzung ohne Ton und stärkt die YouTube-Verständlichkeit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Bauchbinden und Untertitel</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Klare Vorstellung der Leitfigur, Bewohnerin und Fachstimme</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Unterstützt Barrierearmut, Orientierung und institutionelle Seriosität</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Ruhige Atmo-Töne</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Stadtgeräusche, Innenraum, Schritte, Papier, Wasser, gedämpfte Gespräche</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Erzeugt Nähe und Reportagegefühl ohne dramatisierende Musik</w:t>
            </w:r>
          </w:p>
        </w:tc>
      </w:tr>
    </w:tbl>
    <w:p>
      <w:r>
        <w:rPr>
          <w:rFonts w:ascii="Arial" w:hAnsi="Arial"/>
          <w:b w:val="0"/>
        </w:rPr>
        <w:t>Die besonderen Stilmittel dienen damit nicht als Dekoration, sondern als visuelle Argumentation. Zeitraffer zeigt Veränderung, die erhöhte Totale zeigt Raum, Animation zeigt Zusammenhang, Texttafeln sichern Verständlichkeit. Diese Kombination macht den Beitrag zugleich anschaulich, seriös und digital nutzbar.</w:t>
      </w:r>
    </w:p>
    <w:p>
      <w:pPr>
        <w:pStyle w:val="Heading1"/>
        <w:keepNext/>
        <w:spacing w:before="200" w:after="120"/>
      </w:pPr>
      <w:r>
        <w:rPr>
          <w:rFonts w:ascii="Arial" w:hAnsi="Arial"/>
          <w:b/>
          <w:color w:val="550060"/>
          <w:sz w:val="28"/>
        </w:rPr>
        <w:t>Umsetzung und Eignung für Website und YouTube</w:t>
      </w:r>
    </w:p>
    <w:p>
      <w:r>
        <w:rPr>
          <w:rFonts w:ascii="Arial" w:hAnsi="Arial"/>
          <w:b w:val="0"/>
        </w:rPr>
        <w:t>Die Umsetzung verbindet Reportage, Erklärung und klare Absenderfähigkeit. Der Film startet mit einem starken visuellen Kontrast, führt über echte Beobachtungen in das Thema ein und endet mit einer kompakenden Einordnung. Für die Website funktioniert der Beitrag als vertiefender, sachlicher Erklär- und Reportageinhalt. Für YouTube bietet er eine klare Hook in den ersten Sekunden, erkennbare Protagonist*innen, gut lesbare Kapitelmomente und einen Abschluss, der auch ohne Vorwissen verständlich ist.</w:t>
      </w:r>
    </w:p>
    <w:p>
      <w:r>
        <w:rPr>
          <w:rFonts w:ascii="Arial" w:hAnsi="Arial"/>
          <w:b w:val="0"/>
        </w:rPr>
        <w:t>Die Länge bleibt auf eine kompakte Kurzreportage ausgelegt. Der Schnitt priorisiert Situationen, die den Kern schnell erzählen: Außenhitze, Ankommen im Treff, Gespräch mit der Koordinatorin, Alltagsperspektive der Bewohnerin, fachliche Einordnung und Schlussbild. Die O-Töne werden so geführt, dass sie kurze, prägnante Aussagen liefern. Die Sprecherführung hält die rote Linie zusammen und verhindert, dass der Beitrag zu einer reinen Maßnahmenliste wird.</w:t>
      </w:r>
    </w:p>
    <w:p>
      <w:r>
        <w:rPr>
          <w:rFonts w:ascii="Arial" w:hAnsi="Arial"/>
          <w:b w:val="0"/>
        </w:rPr>
        <w:t>Für die digitale Ausspielung sind Untertitel, klare Bauchbinden, gut lesbare Texttafeln und ein prägnantes Vorschaubild mitgedacht. Ein geeignetes Thumbnail-Motiv ist der Übergang von der heißen Straße in den kühlen Treff: visuell einfach, thematisch treffend und sofort verständlich. Der Schlusspunkt bleibt sachlich: Sozialer Klimaschutz wird dort wirksam, wo Schutzangebote Menschen im Alltag tatsächlich erreichen.</w:t>
      </w:r>
    </w:p>
    <w:p>
      <w:pPr>
        <w:pStyle w:val="Heading1"/>
        <w:keepNext/>
        <w:spacing w:before="200" w:after="120"/>
      </w:pPr>
      <w:r>
        <w:rPr>
          <w:rFonts w:ascii="Arial" w:hAnsi="Arial"/>
          <w:b/>
          <w:color w:val="550060"/>
          <w:sz w:val="28"/>
        </w:rPr>
        <w:t>Konzeptlogik auf einen Blick</w:t>
      </w:r>
    </w:p>
    <w:tbl>
      <w:tblPr>
        <w:tblStyle w:val="TableGrid"/>
        <w:tblW w:type="dxa" w:w="9360"/>
        <w:jc w:val="left"/>
        <w:tblLayout w:type="fixed"/>
        <w:tblLook w:firstColumn="1" w:firstRow="1" w:lastColumn="0" w:lastRow="0" w:noHBand="0" w:noVBand="1" w:val="04A0"/>
        <w:tblInd w:w="0" w:type="dxa"/>
      </w:tblPr>
      <w:tblGrid>
        <w:gridCol w:w="2800"/>
        <w:gridCol w:w="6560"/>
      </w:tblGrid>
      <w:tr>
        <w:tc>
          <w:tcPr>
            <w:tcW w:type="dxa" w:w="2800"/>
            <w:vAlign w:val="top"/>
            <w:tcMar>
              <w:top w:w="120" w:type="dxa"/>
              <w:start w:w="130" w:type="dxa"/>
              <w:bottom w:w="120" w:type="dxa"/>
              <w:end w:w="130" w:type="dxa"/>
            </w:tcMar>
            <w:shd w:fill="550060"/>
          </w:tcPr>
          <w:p>
            <w:pPr>
              <w:spacing w:after="60" w:line="252" w:lineRule="auto"/>
            </w:pPr>
            <w:r>
              <w:rPr>
                <w:rFonts w:ascii="Arial" w:hAnsi="Arial"/>
                <w:b/>
                <w:color w:val="FFFFFF"/>
                <w:sz w:val="19"/>
              </w:rPr>
              <w:t>Baustein</w:t>
            </w:r>
          </w:p>
        </w:tc>
        <w:tc>
          <w:tcPr>
            <w:tcW w:type="dxa" w:w="6560"/>
            <w:vAlign w:val="top"/>
            <w:tcMar>
              <w:top w:w="120" w:type="dxa"/>
              <w:start w:w="130" w:type="dxa"/>
              <w:bottom w:w="120" w:type="dxa"/>
              <w:end w:w="130" w:type="dxa"/>
            </w:tcMar>
            <w:shd w:fill="550060"/>
          </w:tcPr>
          <w:p>
            <w:pPr>
              <w:spacing w:after="60" w:line="252" w:lineRule="auto"/>
            </w:pPr>
            <w:r>
              <w:rPr>
                <w:rFonts w:ascii="Arial" w:hAnsi="Arial"/>
                <w:b/>
                <w:color w:val="FFFFFF"/>
                <w:sz w:val="19"/>
              </w:rPr>
              <w:t>Ausarbeitung</w:t>
            </w:r>
          </w:p>
        </w:tc>
      </w:tr>
      <w:tr>
        <w:tc>
          <w:tcPr>
            <w:tcW w:type="dxa" w:w="2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Arbeitstitel</w:t>
            </w:r>
          </w:p>
        </w:tc>
        <w:tc>
          <w:tcPr>
            <w:tcW w:type="dxa" w:w="6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Klimaschutz, der im Alltag ankommt</w:t>
            </w:r>
          </w:p>
        </w:tc>
      </w:tr>
      <w:tr>
        <w:tc>
          <w:tcPr>
            <w:tcW w:type="dxa" w:w="2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Thema</w:t>
            </w:r>
          </w:p>
        </w:tc>
        <w:tc>
          <w:tcPr>
            <w:tcW w:type="dxa" w:w="6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Sozialer Klimaschutz am Beispiel kommunaler Hitzevorsorge in einem dicht bebauten Quartier</w:t>
            </w:r>
          </w:p>
        </w:tc>
      </w:tr>
      <w:tr>
        <w:tc>
          <w:tcPr>
            <w:tcW w:type="dxa" w:w="2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Leitfigur</w:t>
            </w:r>
          </w:p>
        </w:tc>
        <w:tc>
          <w:tcPr>
            <w:tcW w:type="dxa" w:w="6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Koordinatorin eines Nachbarschaftstreffs als glaubwürdige Lotsin durch Alltag, Hilfe und Organisation</w:t>
            </w:r>
          </w:p>
        </w:tc>
      </w:tr>
      <w:tr>
        <w:tc>
          <w:tcPr>
            <w:tcW w:type="dxa" w:w="2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Ergänzende Stimmen</w:t>
            </w:r>
          </w:p>
        </w:tc>
        <w:tc>
          <w:tcPr>
            <w:tcW w:type="dxa" w:w="6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ältere Bewohnerin für Alltagserfahrung; kommunale Klimaanpassungsmanagerin für fachliche Einordnung</w:t>
            </w:r>
          </w:p>
        </w:tc>
      </w:tr>
      <w:tr>
        <w:tc>
          <w:tcPr>
            <w:tcW w:type="dxa" w:w="2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Dramaturgie</w:t>
            </w:r>
          </w:p>
        </w:tc>
        <w:tc>
          <w:tcPr>
            <w:tcW w:type="dxa" w:w="6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Hitze erleben, soziale Wirkung verstehen, Hilfe vor Ort beobachten, Bedeutung einordnen, Take-away setzen</w:t>
            </w:r>
          </w:p>
        </w:tc>
      </w:tr>
      <w:tr>
        <w:tc>
          <w:tcPr>
            <w:tcW w:type="dxa" w:w="2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Bildsprache</w:t>
            </w:r>
          </w:p>
        </w:tc>
        <w:tc>
          <w:tcPr>
            <w:tcW w:type="dxa" w:w="6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ruhige Reportagebilder, starke Kontraste zwischen Außenhitze und Innenraum, Close-ups, klare Orientierungsmotive</w:t>
            </w:r>
          </w:p>
        </w:tc>
      </w:tr>
      <w:tr>
        <w:tc>
          <w:tcPr>
            <w:tcW w:type="dxa" w:w="28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Stilmittel</w:t>
            </w:r>
          </w:p>
        </w:tc>
        <w:tc>
          <w:tcPr>
            <w:tcW w:type="dxa" w:w="65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Zeitraffer, erhöhte Totale oder Luftaufnahme, reduzierte Animationen, Texttafeln, Bauchbinden und Untertitel</w:t>
            </w:r>
          </w:p>
        </w:tc>
      </w:tr>
      <w:tr>
        <w:tc>
          <w:tcPr>
            <w:tcW w:type="dxa" w:w="28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Digitale Stärke</w:t>
            </w:r>
          </w:p>
        </w:tc>
        <w:tc>
          <w:tcPr>
            <w:tcW w:type="dxa" w:w="65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schneller visueller Einstieg, verständliche O-Töne, Nutzung ohne Ton, klare Struktur für Website und YouTube</w:t>
            </w:r>
          </w:p>
        </w:tc>
      </w:tr>
    </w:tbl>
    <w:p>
      <w:r>
        <w:rPr>
          <w:rFonts w:ascii="Arial" w:hAnsi="Arial"/>
          <w:b w:val="0"/>
        </w:rPr>
        <w:t>Das Konzept setzt Sozialen Klimaschutz nicht als Schlagwort, sondern als erlebbare Beziehung zwischen Menschen, Orten und Unterstützung in Szene. Die Kurzreportage zeigt, dass Klimaschutz dann überzeugt, wenn er konkret wird: im Quartier, im Gespräch, im kühlen Raum, auf dem Weg durch einen heißen Tag.</w:t>
      </w:r>
    </w:p>
    <w:sectPr>
      <w:pgSz w:w="11909" w:h="16834" w:orient="portrait"/>
      <w:pgMar w:top="1080" w:right="1080" w:bottom="1080" w:left="1080" w:header="720" w:footer="720" w:gutter="0"/>
      <w:cols w:space="720"/>
      <w:docGrid w:linePitch="360"/>
      <w:headerReference w:type="default" r:id="R0ef492e97ac34c53"/>
      <w:footerReference w:type="default" r:id="R1e5de986372b4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B1D3F" w:rsidTr="1B5B1D3F" w14:paraId="23B9E935">
      <w:trPr>
        <w:trHeight w:val="300"/>
      </w:trPr>
      <w:tc>
        <w:tcPr>
          <w:tcW w:w="3005" w:type="dxa"/>
          <w:tcMar/>
        </w:tcPr>
        <w:p w:rsidR="1B5B1D3F" w:rsidP="1B5B1D3F" w:rsidRDefault="1B5B1D3F" w14:paraId="5CBCB70D" w14:textId="4841726E">
          <w:pPr>
            <w:pStyle w:val="Header"/>
            <w:bidi w:val="0"/>
            <w:ind w:left="-115"/>
            <w:jc w:val="left"/>
          </w:pPr>
        </w:p>
      </w:tc>
      <w:tc>
        <w:tcPr>
          <w:tcW w:w="3005" w:type="dxa"/>
          <w:tcMar/>
        </w:tcPr>
        <w:p w:rsidR="1B5B1D3F" w:rsidP="1B5B1D3F" w:rsidRDefault="1B5B1D3F" w14:paraId="1A883A86" w14:textId="193310AA">
          <w:pPr>
            <w:pStyle w:val="Header"/>
            <w:bidi w:val="0"/>
            <w:jc w:val="center"/>
          </w:pPr>
        </w:p>
      </w:tc>
      <w:tc>
        <w:tcPr>
          <w:tcW w:w="3005" w:type="dxa"/>
          <w:tcMar/>
        </w:tcPr>
        <w:p w:rsidR="1B5B1D3F" w:rsidP="1B5B1D3F" w:rsidRDefault="1B5B1D3F" w14:paraId="6538319C" w14:textId="1EF0FE94">
          <w:pPr>
            <w:pStyle w:val="Header"/>
            <w:bidi w:val="0"/>
            <w:ind w:right="-115"/>
            <w:jc w:val="right"/>
          </w:pPr>
        </w:p>
      </w:tc>
    </w:tr>
  </w:tbl>
  <w:p w:rsidR="1B5B1D3F" w:rsidP="1B5B1D3F" w:rsidRDefault="1B5B1D3F" w14:paraId="1B3C13F9" w14:textId="2131C18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B1D3F" w:rsidP="1B5B1D3F" w:rsidRDefault="1B5B1D3F" w14:paraId="1B04A1FC" w14:textId="6A71372B">
    <w:pPr>
      <w:bidi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1B5B1D3F">
      <w:drawing>
        <wp:inline wp14:editId="3B5CDE30" wp14:anchorId="0E6E1853">
          <wp:extent cx="3657600" cy="571500"/>
          <wp:effectExtent l="0" t="0" r="0" b="0"/>
          <wp:docPr id="455476434" name="" title=""/>
          <wp:cNvGraphicFramePr>
            <a:graphicFrameLocks noChangeAspect="1"/>
          </wp:cNvGraphicFramePr>
          <a:graphic>
            <a:graphicData uri="http://schemas.openxmlformats.org/drawingml/2006/picture">
              <pic:pic>
                <pic:nvPicPr>
                  <pic:cNvPr id="0" name=""/>
                  <pic:cNvPicPr/>
                </pic:nvPicPr>
                <pic:blipFill>
                  <a:blip r:embed="R969f2bbaa2f3475c">
                    <a:extLst>
                      <a:ext xmlns:a="http://schemas.openxmlformats.org/drawingml/2006/main" uri="{28A0092B-C50C-407E-A947-70E740481C1C}">
                        <a14:useLocalDpi val="0"/>
                      </a:ext>
                    </a:extLst>
                  </a:blip>
                  <a:stretch>
                    <a:fillRect/>
                  </a:stretch>
                </pic:blipFill>
                <pic:spPr>
                  <a:xfrm>
                    <a:off x="0" y="0"/>
                    <a:ext cx="3657600" cy="571500"/>
                  </a:xfrm>
                  <a:prstGeom prst="rect">
                    <a:avLst/>
                  </a:prstGeom>
                </pic:spPr>
              </pic:pic>
            </a:graphicData>
          </a:graphic>
        </wp:inline>
      </w:drawing>
    </w:r>
  </w:p>
  <w:p w:rsidR="1B5B1D3F" w:rsidP="1B5B1D3F" w:rsidRDefault="1B5B1D3F" w14:paraId="43D23DB2" w14:textId="39C339D0">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19"/>
        <w:szCs w:val="19"/>
        <w:lang w:val="de-DE"/>
      </w:rPr>
    </w:pPr>
    <w:r w:rsidRPr="1B5B1D3F" w:rsidR="1B5B1D3F">
      <w:rPr>
        <w:rFonts w:ascii="Arial" w:hAnsi="Arial" w:eastAsia="Arial" w:cs="Arial"/>
        <w:b w:val="0"/>
        <w:bCs w:val="0"/>
        <w:i w:val="0"/>
        <w:iCs w:val="0"/>
        <w:caps w:val="0"/>
        <w:smallCaps w:val="0"/>
        <w:noProof w:val="0"/>
        <w:color w:val="000000" w:themeColor="text1" w:themeTint="FF" w:themeShade="FF"/>
        <w:sz w:val="19"/>
        <w:szCs w:val="19"/>
        <w:lang w:val="de-DE"/>
      </w:rPr>
      <w:t>CONTENTKUECHE GMBH HERZOGSTRASSE 64 80803 MÜNCHEN­­­</w:t>
    </w:r>
  </w:p>
  <w:p w:rsidR="1B5B1D3F" w:rsidP="1B5B1D3F" w:rsidRDefault="1B5B1D3F" w14:paraId="74AAE62E" w14:textId="26F75517">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4CC76935" w14:textId="1FDC461D">
    <w:pPr>
      <w:tabs>
        <w:tab w:val="center" w:leader="none" w:pos="4680"/>
        <w:tab w:val="right" w:leader="none" w:pos="9360"/>
      </w:tabs>
      <w:bidi w:val="0"/>
      <w:spacing w:after="0" w:line="240" w:lineRule="auto"/>
      <w:ind w:left="-1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6CA0E7CB" w14:textId="6C5E8986">
    <w:pPr>
      <w:tabs>
        <w:tab w:val="center" w:leader="none" w:pos="4680"/>
        <w:tab w:val="right" w:leader="none" w:pos="9360"/>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705EEB78" w14:textId="11A3A6BF">
    <w:pPr>
      <w:pStyle w:val="Header"/>
      <w:bidi w:val="0"/>
    </w:pPr>
  </w:p>
</w:hdr>
</file>

<file path=word/numbering.xml><?xml version="1.0" encoding="utf-8"?>
<w:numbering xmlns:w="http://schemas.openxmlformats.org/wordprocessingml/2006/main">
  <w:abstractNum xmlns:w="http://schemas.openxmlformats.org/wordprocessingml/2006/main" w:abstractNumId="10">
    <w:nsid w:val="c743e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ec93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4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cfa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f57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fed0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4a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62a72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
      <w:lvlJc w:val="left"/>
      <w:pPr>
        <w:ind w:left="1788" w:hanging="360"/>
      </w:pPr>
      <w:rPr>
        <w:rFonts w:hint="default" w:ascii="Wingdings" w:hAnsi="Wingdings"/>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Wingdings" w:hAnsi="Wingdings"/>
      </w:rPr>
    </w:lvl>
    <w:lvl xmlns:w="http://schemas.openxmlformats.org/wordprocessingml/2006/main" w:ilvl="4">
      <w:start w:val="1"/>
      <w:numFmt w:val="bullet"/>
      <w:lvlText w:val=""/>
      <w:lvlJc w:val="left"/>
      <w:pPr>
        <w:ind w:left="3948" w:hanging="360"/>
      </w:pPr>
      <w:rPr>
        <w:rFonts w:hint="default" w:ascii="Wingdings" w:hAnsi="Wingdings"/>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Wingdings" w:hAnsi="Wingdings"/>
      </w:rPr>
    </w:lvl>
    <w:lvl xmlns:w="http://schemas.openxmlformats.org/wordprocessingml/2006/main" w:ilvl="7">
      <w:start w:val="1"/>
      <w:numFmt w:val="bullet"/>
      <w:lvlText w:val=""/>
      <w:lvlJc w:val="left"/>
      <w:pPr>
        <w:ind w:left="6108" w:hanging="360"/>
      </w:pPr>
      <w:rPr>
        <w:rFonts w:hint="default" w:ascii="Wingdings" w:hAnsi="Wingdings"/>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
    <w:nsid w:val="5a018cb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
    <w:nsid w:val="6c8b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1D3C"/>
    <w:rsid w:val="002F3C9D"/>
    <w:rsid w:val="00722973"/>
    <w:rsid w:val="00F33E8D"/>
    <w:rsid w:val="019AE502"/>
    <w:rsid w:val="01BF6C7C"/>
    <w:rsid w:val="02B465B5"/>
    <w:rsid w:val="035C6A7B"/>
    <w:rsid w:val="0370A3FD"/>
    <w:rsid w:val="040783B7"/>
    <w:rsid w:val="0539761B"/>
    <w:rsid w:val="05819290"/>
    <w:rsid w:val="05CAD516"/>
    <w:rsid w:val="067FFB18"/>
    <w:rsid w:val="07E30A4B"/>
    <w:rsid w:val="07E5B80C"/>
    <w:rsid w:val="07EC5233"/>
    <w:rsid w:val="092B503C"/>
    <w:rsid w:val="09A43C94"/>
    <w:rsid w:val="0A224179"/>
    <w:rsid w:val="0B1DC1E2"/>
    <w:rsid w:val="0B201DA5"/>
    <w:rsid w:val="0BE13B5B"/>
    <w:rsid w:val="0BEEA654"/>
    <w:rsid w:val="0EDF157C"/>
    <w:rsid w:val="101BD140"/>
    <w:rsid w:val="107F7E6D"/>
    <w:rsid w:val="111C3D8F"/>
    <w:rsid w:val="1181C198"/>
    <w:rsid w:val="141BA49F"/>
    <w:rsid w:val="14B6073B"/>
    <w:rsid w:val="14EB4A9B"/>
    <w:rsid w:val="15F3E892"/>
    <w:rsid w:val="16EECC0F"/>
    <w:rsid w:val="18241936"/>
    <w:rsid w:val="1832DAA1"/>
    <w:rsid w:val="18DC11DD"/>
    <w:rsid w:val="196DFCC5"/>
    <w:rsid w:val="19B3696C"/>
    <w:rsid w:val="1A02A262"/>
    <w:rsid w:val="1A7DDD73"/>
    <w:rsid w:val="1B0862B4"/>
    <w:rsid w:val="1B22D5ED"/>
    <w:rsid w:val="1B5B1D3F"/>
    <w:rsid w:val="1BE38CB5"/>
    <w:rsid w:val="1D3F0C06"/>
    <w:rsid w:val="1FA670B3"/>
    <w:rsid w:val="20B27B4E"/>
    <w:rsid w:val="2137D2B4"/>
    <w:rsid w:val="219B1D3C"/>
    <w:rsid w:val="227C7298"/>
    <w:rsid w:val="228A3A09"/>
    <w:rsid w:val="235A9A22"/>
    <w:rsid w:val="24CC8410"/>
    <w:rsid w:val="26002996"/>
    <w:rsid w:val="26D20BFC"/>
    <w:rsid w:val="27053B35"/>
    <w:rsid w:val="27085710"/>
    <w:rsid w:val="27A8BFF5"/>
    <w:rsid w:val="28CA1A32"/>
    <w:rsid w:val="2B66BAA6"/>
    <w:rsid w:val="2B7702DC"/>
    <w:rsid w:val="2C154158"/>
    <w:rsid w:val="2C232603"/>
    <w:rsid w:val="2EDB0A52"/>
    <w:rsid w:val="3005C566"/>
    <w:rsid w:val="30A5CD49"/>
    <w:rsid w:val="30E698EB"/>
    <w:rsid w:val="339BCD4F"/>
    <w:rsid w:val="34268B9C"/>
    <w:rsid w:val="34B17B34"/>
    <w:rsid w:val="3516A3A3"/>
    <w:rsid w:val="3530B13E"/>
    <w:rsid w:val="35B7C8B7"/>
    <w:rsid w:val="35E63F5F"/>
    <w:rsid w:val="368F3252"/>
    <w:rsid w:val="36A06AD2"/>
    <w:rsid w:val="36FBB565"/>
    <w:rsid w:val="378DCAC6"/>
    <w:rsid w:val="38C86BA7"/>
    <w:rsid w:val="3905FCF5"/>
    <w:rsid w:val="3A0E64B2"/>
    <w:rsid w:val="3A9A3065"/>
    <w:rsid w:val="3ADB6AEC"/>
    <w:rsid w:val="3C554361"/>
    <w:rsid w:val="3EEEA96E"/>
    <w:rsid w:val="3F59D754"/>
    <w:rsid w:val="428FD0A3"/>
    <w:rsid w:val="4401160E"/>
    <w:rsid w:val="442FDE6A"/>
    <w:rsid w:val="45985B11"/>
    <w:rsid w:val="45AEC81D"/>
    <w:rsid w:val="45EF20EB"/>
    <w:rsid w:val="47F0C47A"/>
    <w:rsid w:val="484BC00B"/>
    <w:rsid w:val="48AE32CC"/>
    <w:rsid w:val="48DFAA6E"/>
    <w:rsid w:val="48FA8D32"/>
    <w:rsid w:val="490C4199"/>
    <w:rsid w:val="497E6D99"/>
    <w:rsid w:val="4A08C82A"/>
    <w:rsid w:val="4C31E5C4"/>
    <w:rsid w:val="4C837BDF"/>
    <w:rsid w:val="4CC1BD43"/>
    <w:rsid w:val="4CE4F6DF"/>
    <w:rsid w:val="4E5B20E0"/>
    <w:rsid w:val="4EE7587C"/>
    <w:rsid w:val="5035FBA0"/>
    <w:rsid w:val="50EA1F38"/>
    <w:rsid w:val="52ACBD63"/>
    <w:rsid w:val="5372843D"/>
    <w:rsid w:val="55186A1C"/>
    <w:rsid w:val="55D0EFBC"/>
    <w:rsid w:val="560CECA0"/>
    <w:rsid w:val="56143246"/>
    <w:rsid w:val="5631BFAB"/>
    <w:rsid w:val="58D88541"/>
    <w:rsid w:val="5A1574A6"/>
    <w:rsid w:val="5A87A8C1"/>
    <w:rsid w:val="5CC0DA6D"/>
    <w:rsid w:val="5D126851"/>
    <w:rsid w:val="61E96314"/>
    <w:rsid w:val="62C997A1"/>
    <w:rsid w:val="6445284C"/>
    <w:rsid w:val="64593BF7"/>
    <w:rsid w:val="658BE53F"/>
    <w:rsid w:val="65C309E2"/>
    <w:rsid w:val="65F3174A"/>
    <w:rsid w:val="6675A7A8"/>
    <w:rsid w:val="67529F0F"/>
    <w:rsid w:val="67DBF181"/>
    <w:rsid w:val="69A6F1AB"/>
    <w:rsid w:val="6A628CF2"/>
    <w:rsid w:val="6A72EF6A"/>
    <w:rsid w:val="6C27D684"/>
    <w:rsid w:val="6C5235F2"/>
    <w:rsid w:val="6C7460BD"/>
    <w:rsid w:val="6CCDE901"/>
    <w:rsid w:val="6D090513"/>
    <w:rsid w:val="6D5D7310"/>
    <w:rsid w:val="6D788F1F"/>
    <w:rsid w:val="6DFFF6CB"/>
    <w:rsid w:val="6FCD69B2"/>
    <w:rsid w:val="709C7DB3"/>
    <w:rsid w:val="70B63C29"/>
    <w:rsid w:val="70C2B3AA"/>
    <w:rsid w:val="71018705"/>
    <w:rsid w:val="71052883"/>
    <w:rsid w:val="71D92B95"/>
    <w:rsid w:val="71FF8055"/>
    <w:rsid w:val="7359BCB8"/>
    <w:rsid w:val="755308A3"/>
    <w:rsid w:val="75BDAC70"/>
    <w:rsid w:val="75FF2060"/>
    <w:rsid w:val="77D1548B"/>
    <w:rsid w:val="789E1CDA"/>
    <w:rsid w:val="7A5EE70F"/>
    <w:rsid w:val="7B2D8ED5"/>
    <w:rsid w:val="7B734D26"/>
    <w:rsid w:val="7BC54750"/>
    <w:rsid w:val="7C140143"/>
    <w:rsid w:val="7C34DABF"/>
    <w:rsid w:val="7D041E3F"/>
    <w:rsid w:val="7D238ED0"/>
    <w:rsid w:val="7D6B592E"/>
    <w:rsid w:val="7F65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D3C"/>
  <w15:chartTrackingRefBased/>
  <w15:docId w15:val="{4A004BA4-9D24-47DB-963B-FAAB8F30DA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80" w:line="288" w:lineRule="auto"/>
    </w:pPr>
    <w:rPr>
      <w:rFonts w:ascii="Arial" w:hAnsi="Arial"/>
      <w:color w:val="3B3B3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customStyle="1" w:styleId="Title">
    <w:name w:val="Title"/>
    <w:pPr>
      <w:spacing w:after="160"/>
    </w:pPr>
    <w:rPr>
      <w:rFonts w:ascii="Arial" w:hAnsi="Arial"/>
      <w:b/>
      <w:color w:val="550060"/>
      <w:sz w:val="40"/>
    </w:rPr>
  </w:style>
  <w:style w:type="paragraph" w:customStyle="1" w:styleId="Subtitle">
    <w:name w:val="Subtitle"/>
    <w:rPr>
      <w:rFonts w:ascii="Arial" w:hAnsi="Arial"/>
      <w:color w:val="707070"/>
      <w:sz w:val="22"/>
    </w:rPr>
  </w:style>
  <w:style w:type="paragraph" w:customStyle="1" w:styleId="Heading1">
    <w:name w:val="heading 1"/>
    <w:pPr>
      <w:keepNext/>
      <w:spacing w:before="200" w:after="120"/>
    </w:pPr>
    <w:rPr>
      <w:rFonts w:ascii="Arial" w:hAnsi="Arial"/>
      <w:b/>
      <w:color w:val="550060"/>
      <w:sz w:val="28"/>
    </w:rPr>
  </w:style>
  <w:style w:type="paragraph" w:customStyle="1" w:styleId="Heading2">
    <w:name w:val="heading 2"/>
    <w:pPr>
      <w:keepNext/>
      <w:spacing w:before="160" w:after="80"/>
    </w:pPr>
    <w:rPr>
      <w:rFonts w:ascii="Arial" w:hAnsi="Arial"/>
      <w:b/>
      <w:color w:val="C60A7B"/>
      <w:sz w:val="24"/>
    </w:rPr>
  </w:style>
  <w:style w:type="paragraph" w:customStyle="1" w:styleId="Heading3">
    <w:name w:val="heading 3"/>
    <w:pPr>
      <w:keepNext/>
      <w:spacing w:before="120" w:after="60"/>
    </w:pPr>
    <w:rPr>
      <w:rFonts w:ascii="Arial" w:hAnsi="Arial"/>
      <w:b/>
      <w:color w:val="3B3B3B"/>
      <w:sz w:val="22"/>
    </w:rPr>
  </w:style>
  <w:style w:type="paragraph" w:customStyle="1" w:styleId="ListBullet">
    <w:name w:val="List Bullet"/>
    <w:pPr>
      <w:spacing w:after="40" w:line="276" w:lineRule="auto"/>
    </w:pPr>
    <w:rPr>
      <w:rFonts w:ascii="Arial" w:hAnsi="Arial"/>
      <w:sz w:val="21"/>
    </w:rPr>
  </w:style>
  <w:style w:type="paragraph" w:customStyle="1" w:styleId="ListNumber">
    <w:name w:val="List Number"/>
    <w:pPr>
      <w:spacing w:after="40" w:line="276"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0ef492e97ac34c53" Type="http://schemas.openxmlformats.org/officeDocument/2006/relationships/header" Target="header.xml"/><Relationship Id="R1e5de986372b4433" Type="http://schemas.openxmlformats.org/officeDocument/2006/relationships/footer" Target="footer.xml"/><Relationship Id="R867b28c5a9cd48bf" Type="http://schemas.openxmlformats.org/officeDocument/2006/relationships/numbering" Target="numbering.xml"/><Relationship Id="R9565828c7fb54d06"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1554e5f296e542d2"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b29c85304f264645" Type="http://schemas.openxmlformats.org/officeDocument/2006/relationships/hyperlink" Target="https://contentkueche-my.sharepoint.com/:w:/r/personal/sarah_loderer_contentkueche_de/_layouts/15/Doc.aspx?sourcedoc=%7B24a37b00-5449-4f90-879c-2d404079bea9%7D&amp;action=edit&amp;wdPreviousSession=96d3a1b0-ef51-9458-f103-2ed12ff0066d" TargetMode="External"/><Relationship Id="R9e356d2d20414c31" Type="http://schemas.openxmlformats.org/officeDocument/2006/relationships/hyperlink" Target="mailto:invoice@contentkueche.de" TargetMode="External"/><Relationship Id="R8ab09d76c8a04c8f" Type="http://schemas.openxmlformats.org/officeDocument/2006/relationships/image" Target="../media/image2.png"/><Relationship Id="R0058f56995f84733" Type="http://schemas.openxmlformats.org/officeDocument/2006/relationships/image" Target="../media/image3.png"/><Relationship Id="Rbe54518979d94449" Type="http://schemas.openxmlformats.org/officeDocument/2006/relationships/image" Target="../media/image4.png"/><Relationship Id="R4cd823582438482f" Type="http://schemas.openxmlformats.org/officeDocument/2006/relationships/image" Target="../media/image5.png"/><Relationship Id="rId620691723" Type="http://schemas.openxmlformats.org/officeDocument/2006/relationships/image" Target="../media/image6.png"/><Relationship Id="rId1458971187" Type="http://schemas.openxmlformats.org/officeDocument/2006/relationships/image" Target="../media/image7.png"/><Relationship Id="Rdc06f962f6174fe3" Type="http://schemas.openxmlformats.org/officeDocument/2006/relationships/hyperlink" Target="https://contentkueche.sharepoint.com/:b:/s/contentkueche/EZCwkTnhTlFNjLwNCKxatnoBAWw3RwNvjhxqv9BYb1hFsQ?e=IMsoFK" TargetMode="External"/></Relationships>
</file>

<file path=word/_rels/header.xml.rels><?xml version='1.0' encoding='UTF-8' standalone='yes'?>
<Relationships xmlns="http://schemas.openxmlformats.org/package/2006/relationships"><Relationship Id="R969f2bbaa2f3475c" Type="http://schemas.openxmlformats.org/officeDocument/2006/relationships/image" Target="../media/image.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CA6CF3DD80142B911F7593B11EA77" ma:contentTypeVersion="16" ma:contentTypeDescription="Ein neues Dokument erstellen." ma:contentTypeScope="" ma:versionID="68796f86ff1194f16e8751f53627371e">
  <xsd:schema xmlns:xsd="http://www.w3.org/2001/XMLSchema" xmlns:xs="http://www.w3.org/2001/XMLSchema" xmlns:p="http://schemas.microsoft.com/office/2006/metadata/properties" xmlns:ns2="0e74a0ad-f44d-49b8-9a38-e8016d9d75d7" xmlns:ns3="a9f90c52-b20d-4634-9e59-a3c5801722c9" targetNamespace="http://schemas.microsoft.com/office/2006/metadata/properties" ma:root="true" ma:fieldsID="a0dbbaa2b8ace8a73990de3643c994aa" ns2:_="" ns3:_="">
    <xsd:import namespace="0e74a0ad-f44d-49b8-9a38-e8016d9d75d7"/>
    <xsd:import namespace="a9f90c52-b20d-4634-9e59-a3c5801722c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a0ad-f44d-49b8-9a38-e8016d9d75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90c52-b20d-4634-9e59-a3c5801722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fb2e15f-4caf-4a01-81df-fdaf272164d7}" ma:internalName="TaxCatchAll" ma:showField="CatchAllData" ma:web="a9f90c52-b20d-4634-9e59-a3c5801722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4a0ad-f44d-49b8-9a38-e8016d9d75d7">
      <Terms xmlns="http://schemas.microsoft.com/office/infopath/2007/PartnerControls"/>
    </lcf76f155ced4ddcb4097134ff3c332f>
    <TaxCatchAll xmlns="a9f90c52-b20d-4634-9e59-a3c5801722c9" xsi:nil="true"/>
  </documentManagement>
</p:properties>
</file>

<file path=customXml/itemProps1.xml><?xml version="1.0" encoding="utf-8"?>
<ds:datastoreItem xmlns:ds="http://schemas.openxmlformats.org/officeDocument/2006/customXml" ds:itemID="{F12500A5-9430-4ED0-BCC8-3D5231F93933}"/>
</file>

<file path=customXml/itemProps2.xml><?xml version="1.0" encoding="utf-8"?>
<ds:datastoreItem xmlns:ds="http://schemas.openxmlformats.org/officeDocument/2006/customXml" ds:itemID="{9369604F-156F-4A9B-B301-6BF21B8CE92C}"/>
</file>

<file path=customXml/itemProps3.xml><?xml version="1.0" encoding="utf-8"?>
<ds:datastoreItem xmlns:ds="http://schemas.openxmlformats.org/officeDocument/2006/customXml" ds:itemID="{375915FC-A1CA-4D48-AF47-918149A62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Loderer</dc:creator>
  <keywords/>
  <dc:description/>
  <lastModifiedBy>Sarah Loderer</lastModifiedBy>
  <dcterms:created xsi:type="dcterms:W3CDTF">2024-10-21T14:23:27.0000000Z</dcterms:created>
  <dcterms:modified xsi:type="dcterms:W3CDTF">2026-01-19T09:41:42.1096937Z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0x010100E1FCA6CF3DD80142B911F7593B11EA77</vt:lpwstr>
  </property>
  <property fmtid="{D5CDD505-2E9C-101B-9397-08002B2CF9AE}" pid="3" name="MediaServiceImageTags">
    <vt:lpwstr/>
  </property>
</Properties>
</file>