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xml" ContentType="application/vnd.openxmlformats-officedocument.wordprocessingml.footer+xml"/>
  <Override PartName="/word/header.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pPr>
        <w:pStyle w:val="Title"/>
        <w:keepNext/>
        <w:spacing w:after="160"/>
        <w:jc w:val="left"/>
      </w:pPr>
      <w:r>
        <w:rPr>
          <w:rFonts w:ascii="Arial" w:hAnsi="Arial"/>
          <w:b/>
          <w:color w:val="550060"/>
          <w:sz w:val="40"/>
        </w:rPr>
        <w:t>Nachhaltigkeitskonzept</w:t>
      </w:r>
    </w:p>
    <w:p>
      <w:pPr>
        <w:pStyle w:val="Heading1"/>
        <w:keepNext/>
        <w:spacing w:before="200" w:after="120"/>
      </w:pPr>
      <w:r>
        <w:rPr>
          <w:rFonts w:ascii="Arial" w:hAnsi="Arial"/>
          <w:b/>
          <w:color w:val="550060"/>
          <w:sz w:val="28"/>
        </w:rPr>
        <w:t>Leitidee: Nachhaltigkeit als Produktionsstandard jedes Abrufs</w:t>
      </w:r>
    </w:p>
    <w:p>
      <w:r>
        <w:rPr>
          <w:rFonts w:ascii="Arial" w:hAnsi="Arial"/>
          <w:b w:val="0"/>
        </w:rPr>
        <w:t>Nachhaltigkeit entsteht bei Video- und Livestream-Produktionen nicht durch ein zusätzliches Versprechen, sondern durch klare Entscheidungen im Ablauf: weniger unnötige Wege, schlanke Technik, gebündelte Drehs, präzise Postproduktion und konsequente Wiederverwendung von Material. Dieses Konzept übersetzt Nachhaltigkeit deshalb in ein verbindliches Produktionsprinzip für jeden Einzelauftrag.</w:t>
      </w:r>
    </w:p>
    <w:p>
      <w:r>
        <w:rPr>
          <w:rFonts w:ascii="Arial" w:hAnsi="Arial"/>
          <w:b w:val="0"/>
        </w:rPr>
        <w:t xml:space="preserve">Der Ansatz folgt vier Schritten: </w:t>
      </w:r>
      <w:r>
        <w:rPr>
          <w:rFonts w:ascii="Arial" w:hAnsi="Arial"/>
          <w:b/>
        </w:rPr>
        <w:t>vermeiden, bündeln, wiederverwenden, dokumentieren</w:t>
      </w:r>
      <w:r>
        <w:rPr>
          <w:rFonts w:ascii="Arial" w:hAnsi="Arial"/>
          <w:b w:val="0"/>
        </w:rPr>
        <w:t>. Jeder Abruf wird so geplant, dass Inhalt, Format, Drehlogik, Technik, Korrekturschleifen und Ausspielung zusammen gedacht werden. Dadurch bleibt die Umsetzung schnell genug für aktuelle politische Kommunikation und zugleich ressourcenschonend über die gesamte Laufzeit der Rahmenvereinbarung.</w:t>
      </w:r>
    </w:p>
    <w:p>
      <w:pPr>
        <w:pStyle w:val="Heading1"/>
        <w:keepNext/>
        <w:spacing w:before="200" w:after="120"/>
      </w:pPr>
      <w:r>
        <w:rPr>
          <w:rFonts w:ascii="Arial" w:hAnsi="Arial"/>
          <w:b/>
          <w:color w:val="550060"/>
          <w:sz w:val="28"/>
        </w:rPr>
        <w:t>Planung und Reisen: erst Materialbedarf klären, dann Wege auslösen</w:t>
      </w:r>
    </w:p>
    <w:p>
      <w:r>
        <w:rPr>
          <w:rFonts w:ascii="Arial" w:hAnsi="Arial"/>
          <w:b w:val="0"/>
        </w:rPr>
        <w:t>Bereits im Abrufbriefing wird entschieden, welche Produktionsform wirklich erforderlich ist: Vor-Ort-Dreh, Nutzung vorhandener Räume, mobiles Setup, Remote-Zuschaltung, Materialverwertung oder eine Kombination daraus. Redaktion, Produktion und Schnitt arbeiten dafür mit einer gemeinsamen Abrufskizze: Ziel, Kernbotschaft, benötigte O-Töne, Motivliste, geplante Derivate und Abnahmelogik werden vor der Reiseplanung festgelegt.</w:t>
      </w:r>
    </w:p>
    <w:p>
      <w:r>
        <w:rPr>
          <w:rFonts w:ascii="Arial" w:hAnsi="Arial"/>
          <w:b w:val="0"/>
        </w:rPr>
        <w:t>Für Reisen gilt: Termine werden gebündelt, Wege werden reduziert und vorhandene Drehmöglichkeiten werden vorrangig genutzt, wenn sie für Inhalt und Bildqualität geeignet sind. Bei Produktionen an den Standorten Bonn und Berlin wird die Disposition so angelegt, dass Anreise, Interviewslots, B-Roll, Tonaufnahmen und Schnittübergabe in möglichst wenigen Produktionsfenstern stattfinden. Bei Livestreams ersetzt ein technischer Vorab-Check vermeidbare Zusatztermine vor Ort.</w:t>
      </w:r>
    </w:p>
    <w:p>
      <w:pPr>
        <w:pStyle w:val="Heading1"/>
        <w:keepNext/>
        <w:spacing w:before="200" w:after="120"/>
      </w:pPr>
      <w:r>
        <w:rPr>
          <w:rFonts w:ascii="Arial" w:hAnsi="Arial"/>
          <w:b/>
          <w:color w:val="550060"/>
          <w:sz w:val="28"/>
        </w:rPr>
        <w:t>Ressourcen und Technik: kompakte Setups statt Produktionsübermaß</w:t>
      </w:r>
    </w:p>
    <w:p>
      <w:r>
        <w:rPr>
          <w:rFonts w:ascii="Arial" w:hAnsi="Arial"/>
          <w:b w:val="0"/>
        </w:rPr>
        <w:t>Die technische Planung richtet sich nach dem tatsächlichen Kommunikationsziel. Ein Statement benötigt ein anderes Setup als eine Reportage, ein Livestream ein anderes Risikoprofil als ein kurzer Social-Clip. Deshalb wird je Abruf eine passgenaue Equipmentliste erstellt: Kamera, Ton, Licht, Streamingtechnik und Back-up werden so dimensioniert, dass Qualität und Ausfallsicherheit gesichert sind, ohne unnötiges Material zu bewegen.</w:t>
      </w:r>
    </w:p>
    <w:p>
      <w:r>
        <w:rPr>
          <w:rFonts w:ascii="Arial" w:hAnsi="Arial"/>
          <w:b w:val="0"/>
        </w:rPr>
        <w:t>Kompakte LED-Lichtsets, digitale Produktionsunterlagen, wiederverwendbare Speichermedien, strukturierte Datenübergaben und eine saubere Akku- und Ladeplanung reduzieren Verbrauch im Produktionsalltag. Bei ganztägigen Einsätzen werden Material, Verpflegung und Setorganisation so geplant, dass Einweg- und Spontanbeschaffung vermieden werden. Bestehende Vorlagen für Bauchbinden, Intros, Outros, Untertitel und Social-Cutdowns werden wiederverwendet und je Format angepasst.</w:t>
      </w:r>
    </w:p>
    <w:p>
      <w:pPr>
        <w:pStyle w:val="Heading1"/>
        <w:keepNext/>
        <w:spacing w:before="200" w:after="120"/>
      </w:pPr>
      <w:r>
        <w:rPr>
          <w:rFonts w:ascii="Arial" w:hAnsi="Arial"/>
          <w:b/>
          <w:color w:val="550060"/>
          <w:sz w:val="28"/>
        </w:rPr>
        <w:t>Postproduktion und Korrekturen: weniger Schleifen durch bessere Vorarbeit</w:t>
      </w:r>
    </w:p>
    <w:p>
      <w:r>
        <w:rPr>
          <w:rFonts w:ascii="Arial" w:hAnsi="Arial"/>
          <w:b w:val="0"/>
        </w:rPr>
        <w:t>Ressourcenschonende Postproduktion beginnt nicht erst im Schnitt. Durch klares Storyboard, Interviewleitfaden, Shotlist und geplante Texttafeln entsteht weniger Ausschussmaterial. Vor dem Feinschnitt wird eine präzise Strukturfreigabe vorbereitet: Reihenfolge, Sprechertext, O-Ton-Auswahl, Texteinblendungen und Derivatlogik werden gemeinsam betrachtet, damit spätere Korrekturen nicht mehrere Render- und Abstimmungsschleifen auslösen.</w:t>
      </w:r>
    </w:p>
    <w:p>
      <w:r>
        <w:rPr>
          <w:rFonts w:ascii="Arial" w:hAnsi="Arial"/>
          <w:b w:val="0"/>
        </w:rPr>
        <w:t>Für wiederkehrende Formate werden Schnittvorlagen, Farblook, Audiostandards, Untertitel-Layouts und Exportprofile zentral gepflegt. Das schafft Wiedererkennung und reduziert Produktionsaufwand. Für barrierearme Veröffentlichungen werden Untertitel, klare On-Screen-Texte, lesbare Grafikebenen und verständliche Tonmischung von Beginn an mitgedacht, damit zusätzliche Bearbeitungsschritte nicht nachgelagert entstehen.</w:t>
      </w:r>
    </w:p>
    <w:p>
      <w:pPr>
        <w:pStyle w:val="Heading1"/>
        <w:keepNext/>
        <w:spacing w:before="200" w:after="120"/>
      </w:pPr>
      <w:r>
        <w:rPr>
          <w:rFonts w:ascii="Arial" w:hAnsi="Arial"/>
          <w:b/>
          <w:color w:val="550060"/>
          <w:sz w:val="28"/>
        </w:rPr>
        <w:t>Wiederverwendung und Nutzung: aus jedem Dreh mehr als ein Einzelasset machen</w:t>
      </w:r>
    </w:p>
    <w:p>
      <w:r>
        <w:rPr>
          <w:rFonts w:ascii="Arial" w:hAnsi="Arial"/>
          <w:b w:val="0"/>
        </w:rPr>
        <w:t>Jeder Dreh wird als Materialbasis geplant, nicht nur als einzelnes Endprodukt. Bereits im Briefing wird festgelegt, welche Zweitverwertung sinnvoll ist: kurzer Social-Ausschnitt, Web-Teaser, O-Ton-Snippet, Standbild, Thumbnail, Untertitelvariante, Event-Zusammenfassung oder Materialpool für spätere Themen. So entstehen aus einem Produktionsaufwand mehrere verwertbare Inhalte, ohne zusätzliche Drehs auszulösen.</w:t>
      </w:r>
    </w:p>
    <w:p>
      <w:r>
        <w:rPr>
          <w:rFonts w:ascii="Arial" w:hAnsi="Arial"/>
          <w:b w:val="0"/>
        </w:rPr>
        <w:t>Die Materialorganisation folgt einer klaren Logik: Rohmaterial, Ausspielversionen, Sprechertexte, Untertitel, Grafiken und Nutzungsinformationen werden eindeutig benannt und übergabefähig abgelegt. Dadurch können zukünftige Statements, Collagen, Slideshows oder GIFs schneller aus vorhandenem Material entstehen. Nachhaltigkeit wird damit nicht als Verzicht verstanden, sondern als bessere redaktionelle Planung.</w:t>
      </w:r>
    </w:p>
    <w:p>
      <w:pPr>
        <w:pStyle w:val="Heading1"/>
        <w:keepNext/>
        <w:spacing w:before="200" w:after="120"/>
      </w:pPr>
      <w:r>
        <w:rPr>
          <w:rFonts w:ascii="Arial" w:hAnsi="Arial"/>
          <w:b/>
          <w:color w:val="550060"/>
          <w:sz w:val="28"/>
        </w:rPr>
        <w:t>Maßnahmenmatrix nach Produktionsphase</w:t>
      </w:r>
    </w:p>
    <w:tbl>
      <w:tblPr>
        <w:tblStyle w:val="TableGrid"/>
        <w:tblW w:type="dxa" w:w="9360"/>
        <w:jc w:val="left"/>
        <w:tblLayout w:type="fixed"/>
        <w:tblLook w:firstColumn="1" w:firstRow="1" w:lastColumn="0" w:lastRow="0" w:noHBand="0" w:noVBand="1" w:val="04A0"/>
        <w:tblInd w:w="0" w:type="dxa"/>
      </w:tblPr>
      <w:tblGrid>
        <w:gridCol w:w="1900"/>
        <w:gridCol w:w="2400"/>
        <w:gridCol w:w="2500"/>
        <w:gridCol w:w="25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Produktionsphase</w:t>
            </w:r>
          </w:p>
        </w:tc>
        <w:tc>
          <w:tcPr>
            <w:tcW w:type="dxa" w:w="2400"/>
            <w:vAlign w:val="top"/>
            <w:tcMar>
              <w:top w:w="120" w:type="dxa"/>
              <w:start w:w="130" w:type="dxa"/>
              <w:bottom w:w="120" w:type="dxa"/>
              <w:end w:w="130" w:type="dxa"/>
            </w:tcMar>
            <w:shd w:fill="550060"/>
          </w:tcPr>
          <w:p>
            <w:pPr>
              <w:spacing w:after="60" w:line="252" w:lineRule="auto"/>
            </w:pPr>
            <w:r>
              <w:rPr>
                <w:rFonts w:ascii="Arial" w:hAnsi="Arial"/>
                <w:b/>
                <w:color w:val="FFFFFF"/>
                <w:sz w:val="19"/>
              </w:rPr>
              <w:t>Konkrete Umsetzung</w:t>
            </w:r>
          </w:p>
        </w:tc>
        <w:tc>
          <w:tcPr>
            <w:tcW w:type="dxa" w:w="2500"/>
            <w:vAlign w:val="top"/>
            <w:tcMar>
              <w:top w:w="120" w:type="dxa"/>
              <w:start w:w="130" w:type="dxa"/>
              <w:bottom w:w="120" w:type="dxa"/>
              <w:end w:w="130" w:type="dxa"/>
            </w:tcMar>
            <w:shd w:fill="550060"/>
          </w:tcPr>
          <w:p>
            <w:pPr>
              <w:spacing w:after="60" w:line="252" w:lineRule="auto"/>
            </w:pPr>
            <w:r>
              <w:rPr>
                <w:rFonts w:ascii="Arial" w:hAnsi="Arial"/>
                <w:b/>
                <w:color w:val="FFFFFF"/>
                <w:sz w:val="19"/>
              </w:rPr>
              <w:t>Nachhaltigkeitsbeitrag</w:t>
            </w:r>
          </w:p>
        </w:tc>
        <w:tc>
          <w:tcPr>
            <w:tcW w:type="dxa" w:w="2560"/>
            <w:vAlign w:val="top"/>
            <w:tcMar>
              <w:top w:w="120" w:type="dxa"/>
              <w:start w:w="130" w:type="dxa"/>
              <w:bottom w:w="120" w:type="dxa"/>
              <w:end w:w="130" w:type="dxa"/>
            </w:tcMar>
            <w:shd w:fill="550060"/>
          </w:tcPr>
          <w:p>
            <w:pPr>
              <w:spacing w:after="60" w:line="252" w:lineRule="auto"/>
            </w:pPr>
            <w:r>
              <w:rPr>
                <w:rFonts w:ascii="Arial" w:hAnsi="Arial"/>
                <w:b/>
                <w:color w:val="FFFFFF"/>
                <w:sz w:val="19"/>
              </w:rPr>
              <w:t>Steuerungselement</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Abruf &amp; Briefing</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Ziel, Format, Motivbedarf, O-Töne, Derivate und Abnahmeweg in einer kompakten Abrufskizze festhalten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Vermeidet Fehlproduktion und unnötige Zusatztermine</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Abrufskizze mit Motiv- und Assetlogik</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Redaktion</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Interviewfragen, Sprechertext, Texttafeln und Shotlist vor Drehbeginn strukturieren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Reduziert Ausschussmaterial und nachträgliche Korrekturen</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Redaktionsoutline mit Shotlist</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Drehplanung</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Termine, Interviews, B-Roll und Tonaufnahmen je Standort bündeln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Weniger Wege und effizientere Einsatzzeiten</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Tagesdisposition mit Produktionsfenstern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Reisen</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Bahn, ÖPNV und kurze Wege in der Disposition priorisieren; Reisen mit mehreren Motiven verbinden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Reduziert Reiseaufwand je verwertbarem Asset</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Reise- und Motivplanung pro Abruf</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Technik</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Setup passend zum Format dimensionieren; mobiles Licht, Ton und Back-up nur nach Bedarf einplanen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Vermeidet Materialübermaß und unnötige Transporte</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Equipmentliste je Formattyp</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Livestream</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Remote-Check, Probelauf, Rollenplan und Back-up-Szenario vor dem Sendetermin festlegen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Verhindert Zusatzfahrten und technische Wiederholungen</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Technik- und Ablaufplan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Dreh vor Ort</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Digitale Produktionsunterlagen, wiederverwendbare Setmaterialien und klare Datenübergabe nutzen</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Reduziert Papier, spontane Beschaffung und Datenchaos</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Digitale Call-Sheets und Übergabeordner</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Postproduktion</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Schnittvorlagen, Exportprofile, Untertitel-Layouts und Grafikelemente wiederverwenden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Spart Bearbeitungsschritte und sichert konsistente Qualität</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Template- und Exportstruktur</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Korrekturen</w:t>
            </w:r>
          </w:p>
        </w:tc>
        <w:tc>
          <w:tcPr>
            <w:tcW w:type="dxa" w:w="24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Strukturabnahme vor Feinschnitt; gebündelte Feedbackrunde mit eindeutiger Änderungslogik</w:t>
            </w:r>
          </w:p>
        </w:tc>
        <w:tc>
          <w:tcPr>
            <w:tcW w:type="dxa" w:w="25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Reduziert Mehrfachrenderings und Schleifen</w:t>
            </w:r>
          </w:p>
        </w:tc>
        <w:tc>
          <w:tcPr>
            <w:tcW w:type="dxa" w:w="2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Konsolidierte Änderungsliste</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Ausspielung &amp; Archiv</w:t>
            </w:r>
          </w:p>
        </w:tc>
        <w:tc>
          <w:tcPr>
            <w:tcW w:type="dxa" w:w="24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Endversionen, Rohmaterial, Untertitel, Standbilder und Derivate eindeutig benennen</w:t>
            </w:r>
          </w:p>
        </w:tc>
        <w:tc>
          <w:tcPr>
            <w:tcW w:type="dxa" w:w="25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Erleichtert Wiederverwendung für Website, Social Media und spätere Abrufe</w:t>
            </w:r>
          </w:p>
        </w:tc>
        <w:tc>
          <w:tcPr>
            <w:tcW w:type="dxa" w:w="2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Assetliste mit Versionierung</w:t>
            </w:r>
          </w:p>
        </w:tc>
      </w:tr>
    </w:tbl>
    <w:p>
      <w:pPr>
        <w:pStyle w:val="Heading1"/>
        <w:keepNext/>
        <w:spacing w:before="200" w:after="120"/>
      </w:pPr>
      <w:r>
        <w:rPr>
          <w:rFonts w:ascii="Arial" w:hAnsi="Arial"/>
          <w:b/>
          <w:color w:val="550060"/>
          <w:sz w:val="28"/>
        </w:rPr>
        <w:t>Steuerung im Rahmenvertrag: kleine Routinen mit großer Wirkung</w:t>
      </w:r>
    </w:p>
    <w:p>
      <w:r>
        <w:rPr>
          <w:rFonts w:ascii="Arial" w:hAnsi="Arial"/>
          <w:b w:val="0"/>
        </w:rPr>
        <w:t>Damit die Maßnahmen nicht nur im Einzelfall funktionieren, werden sie als wiederkehrende Routinen im Rahmenvertrag angelegt. Für jeden Abruf gibt es fünf kurze Nachhaltigkeits-Checkpoints: Produktionsform, Reisebündelung, Technikumfang, Derivatplanung und Materialablage. Diese Checkpoints sind schlank genug für tagesaktuelle Kommunikation und konkret genug, um Entscheidungen nachvollziehbar zu machen.</w:t>
      </w:r>
    </w:p>
    <w:p>
      <w:r>
        <w:rPr>
          <w:rFonts w:ascii="Arial" w:hAnsi="Arial"/>
          <w:b w:val="0"/>
        </w:rPr>
        <w:t>Die Umsetzung wird nicht über abstrakte Kennzahlen gesteuert, sondern über konkrete Produktionsentscheidungen: Welche Wege wurden vermieden? Welche Motive wurden gebündelt? Welche Vorlagen wurden genutzt? Welche Inhalte konnten aus vorhandenem Material entstehen? Welche Schnitt- und Exportschritte wurden durch klare Vorarbeit reduziert? So entsteht ein Nachhaltigkeitskonzept, das im Alltag der Videoproduktion anwendbar bleibt und über viele Abrufe hinweg Wirkung entfaltet.</w:t>
      </w:r>
    </w:p>
    <w:p>
      <w:pPr>
        <w:pStyle w:val="Heading1"/>
        <w:keepNext/>
        <w:spacing w:before="200" w:after="120"/>
      </w:pPr>
      <w:r>
        <w:rPr>
          <w:rFonts w:ascii="Arial" w:hAnsi="Arial"/>
          <w:b/>
          <w:color w:val="550060"/>
          <w:sz w:val="28"/>
        </w:rPr>
        <w:t>Ergebnis: nachhaltiger produzieren, ohne Verständlichkeit zu verlieren</w:t>
      </w:r>
    </w:p>
    <w:p>
      <w:r>
        <w:rPr>
          <w:rFonts w:ascii="Arial" w:hAnsi="Arial"/>
          <w:b w:val="0"/>
        </w:rPr>
        <w:t>Das Konzept verbindet Nachhaltigkeit mit den Anforderungen öffentlicher Kommunikation: aktuelle Themen, verständliche Formate, barrierearme Ausspielung, zuverlässige Livestreams und verwertbare Social-Media-Inhalte. Entscheidend ist die Verbindung aus redaktioneller Präzision, schlanker Produktion und systematischer Wiederverwendung. Damit wird Nachhaltigkeit zu einem Qualitätsmerkmal der Umsetzung — sichtbar in jedem Briefing, jedem Drehtag, jeder Schnittentscheidung und jeder Ausspielversion.</w:t>
      </w:r>
    </w:p>
    <w:sectPr>
      <w:pgSz w:w="11909" w:h="16834" w:orient="portrait"/>
      <w:pgMar w:top="1080" w:right="1080" w:bottom="1080" w:left="1080" w:header="720" w:footer="720" w:gutter="0"/>
      <w:cols w:space="720"/>
      <w:docGrid w:linePitch="360"/>
      <w:headerReference w:type="default" r:id="R0ef492e97ac34c53"/>
      <w:footerReference w:type="default" r:id="R1e5de986372b44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B5B1D3F" w:rsidTr="1B5B1D3F" w14:paraId="23B9E935">
      <w:trPr>
        <w:trHeight w:val="300"/>
      </w:trPr>
      <w:tc>
        <w:tcPr>
          <w:tcW w:w="3005" w:type="dxa"/>
          <w:tcMar/>
        </w:tcPr>
        <w:p w:rsidR="1B5B1D3F" w:rsidP="1B5B1D3F" w:rsidRDefault="1B5B1D3F" w14:paraId="5CBCB70D" w14:textId="4841726E">
          <w:pPr>
            <w:pStyle w:val="Header"/>
            <w:bidi w:val="0"/>
            <w:ind w:left="-115"/>
            <w:jc w:val="left"/>
          </w:pPr>
        </w:p>
      </w:tc>
      <w:tc>
        <w:tcPr>
          <w:tcW w:w="3005" w:type="dxa"/>
          <w:tcMar/>
        </w:tcPr>
        <w:p w:rsidR="1B5B1D3F" w:rsidP="1B5B1D3F" w:rsidRDefault="1B5B1D3F" w14:paraId="1A883A86" w14:textId="193310AA">
          <w:pPr>
            <w:pStyle w:val="Header"/>
            <w:bidi w:val="0"/>
            <w:jc w:val="center"/>
          </w:pPr>
        </w:p>
      </w:tc>
      <w:tc>
        <w:tcPr>
          <w:tcW w:w="3005" w:type="dxa"/>
          <w:tcMar/>
        </w:tcPr>
        <w:p w:rsidR="1B5B1D3F" w:rsidP="1B5B1D3F" w:rsidRDefault="1B5B1D3F" w14:paraId="6538319C" w14:textId="1EF0FE94">
          <w:pPr>
            <w:pStyle w:val="Header"/>
            <w:bidi w:val="0"/>
            <w:ind w:right="-115"/>
            <w:jc w:val="right"/>
          </w:pPr>
        </w:p>
      </w:tc>
    </w:tr>
  </w:tbl>
  <w:p w:rsidR="1B5B1D3F" w:rsidP="1B5B1D3F" w:rsidRDefault="1B5B1D3F" w14:paraId="1B3C13F9" w14:textId="2131C18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B5B1D3F" w:rsidP="1B5B1D3F" w:rsidRDefault="1B5B1D3F" w14:paraId="1B04A1FC" w14:textId="6A71372B">
    <w:pPr>
      <w:bidi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1B5B1D3F">
      <w:drawing>
        <wp:inline wp14:editId="3B5CDE30" wp14:anchorId="0E6E1853">
          <wp:extent cx="3657600" cy="571500"/>
          <wp:effectExtent l="0" t="0" r="0" b="0"/>
          <wp:docPr id="455476434" name="" title=""/>
          <wp:cNvGraphicFramePr>
            <a:graphicFrameLocks noChangeAspect="1"/>
          </wp:cNvGraphicFramePr>
          <a:graphic>
            <a:graphicData uri="http://schemas.openxmlformats.org/drawingml/2006/picture">
              <pic:pic>
                <pic:nvPicPr>
                  <pic:cNvPr id="0" name=""/>
                  <pic:cNvPicPr/>
                </pic:nvPicPr>
                <pic:blipFill>
                  <a:blip r:embed="R969f2bbaa2f3475c">
                    <a:extLst>
                      <a:ext xmlns:a="http://schemas.openxmlformats.org/drawingml/2006/main" uri="{28A0092B-C50C-407E-A947-70E740481C1C}">
                        <a14:useLocalDpi val="0"/>
                      </a:ext>
                    </a:extLst>
                  </a:blip>
                  <a:stretch>
                    <a:fillRect/>
                  </a:stretch>
                </pic:blipFill>
                <pic:spPr>
                  <a:xfrm>
                    <a:off x="0" y="0"/>
                    <a:ext cx="3657600" cy="571500"/>
                  </a:xfrm>
                  <a:prstGeom prst="rect">
                    <a:avLst/>
                  </a:prstGeom>
                </pic:spPr>
              </pic:pic>
            </a:graphicData>
          </a:graphic>
        </wp:inline>
      </w:drawing>
    </w:r>
  </w:p>
  <w:p w:rsidR="1B5B1D3F" w:rsidP="1B5B1D3F" w:rsidRDefault="1B5B1D3F" w14:paraId="43D23DB2" w14:textId="39C339D0">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19"/>
        <w:szCs w:val="19"/>
        <w:lang w:val="de-DE"/>
      </w:rPr>
    </w:pPr>
    <w:r w:rsidRPr="1B5B1D3F" w:rsidR="1B5B1D3F">
      <w:rPr>
        <w:rFonts w:ascii="Arial" w:hAnsi="Arial" w:eastAsia="Arial" w:cs="Arial"/>
        <w:b w:val="0"/>
        <w:bCs w:val="0"/>
        <w:i w:val="0"/>
        <w:iCs w:val="0"/>
        <w:caps w:val="0"/>
        <w:smallCaps w:val="0"/>
        <w:noProof w:val="0"/>
        <w:color w:val="000000" w:themeColor="text1" w:themeTint="FF" w:themeShade="FF"/>
        <w:sz w:val="19"/>
        <w:szCs w:val="19"/>
        <w:lang w:val="de-DE"/>
      </w:rPr>
      <w:t>CONTENTKUECHE GMBH HERZOGSTRASSE 64 80803 MÜNCHEN­­­</w:t>
    </w:r>
  </w:p>
  <w:p w:rsidR="1B5B1D3F" w:rsidP="1B5B1D3F" w:rsidRDefault="1B5B1D3F" w14:paraId="74AAE62E" w14:textId="26F75517">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4CC76935" w14:textId="1FDC461D">
    <w:pPr>
      <w:tabs>
        <w:tab w:val="center" w:leader="none" w:pos="4680"/>
        <w:tab w:val="right" w:leader="none" w:pos="9360"/>
      </w:tabs>
      <w:bidi w:val="0"/>
      <w:spacing w:after="0" w:line="240" w:lineRule="auto"/>
      <w:ind w:left="-1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6CA0E7CB" w14:textId="6C5E8986">
    <w:pPr>
      <w:tabs>
        <w:tab w:val="center" w:leader="none" w:pos="4680"/>
        <w:tab w:val="right" w:leader="none" w:pos="9360"/>
      </w:tabs>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705EEB78" w14:textId="11A3A6BF">
    <w:pPr>
      <w:pStyle w:val="Header"/>
      <w:bidi w:val="0"/>
    </w:pPr>
  </w:p>
</w:hdr>
</file>

<file path=word/numbering.xml><?xml version="1.0" encoding="utf-8"?>
<w:numbering xmlns:w="http://schemas.openxmlformats.org/wordprocessingml/2006/main">
  <w:abstractNum xmlns:w="http://schemas.openxmlformats.org/wordprocessingml/2006/main" w:abstractNumId="10">
    <w:nsid w:val="c743e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ec934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64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acfa1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f57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dfed0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4a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d62a72f"/>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Wingdings" w:hAnsi="Wingdings"/>
      </w:rPr>
    </w:lvl>
    <w:lvl xmlns:w="http://schemas.openxmlformats.org/wordprocessingml/2006/main" w:ilvl="1">
      <w:start w:val="1"/>
      <w:numFmt w:val="bullet"/>
      <w:lvlText w:val=""/>
      <w:lvlJc w:val="left"/>
      <w:pPr>
        <w:ind w:left="1788" w:hanging="360"/>
      </w:pPr>
      <w:rPr>
        <w:rFonts w:hint="default" w:ascii="Wingdings" w:hAnsi="Wingdings"/>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Wingdings" w:hAnsi="Wingdings"/>
      </w:rPr>
    </w:lvl>
    <w:lvl xmlns:w="http://schemas.openxmlformats.org/wordprocessingml/2006/main" w:ilvl="4">
      <w:start w:val="1"/>
      <w:numFmt w:val="bullet"/>
      <w:lvlText w:val=""/>
      <w:lvlJc w:val="left"/>
      <w:pPr>
        <w:ind w:left="3948" w:hanging="360"/>
      </w:pPr>
      <w:rPr>
        <w:rFonts w:hint="default" w:ascii="Wingdings" w:hAnsi="Wingdings"/>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Wingdings" w:hAnsi="Wingdings"/>
      </w:rPr>
    </w:lvl>
    <w:lvl xmlns:w="http://schemas.openxmlformats.org/wordprocessingml/2006/main" w:ilvl="7">
      <w:start w:val="1"/>
      <w:numFmt w:val="bullet"/>
      <w:lvlText w:val=""/>
      <w:lvlJc w:val="left"/>
      <w:pPr>
        <w:ind w:left="6108" w:hanging="360"/>
      </w:pPr>
      <w:rPr>
        <w:rFonts w:hint="default" w:ascii="Wingdings" w:hAnsi="Wingdings"/>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2">
    <w:nsid w:val="5a018cb4"/>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
    <w:nsid w:val="6c8b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B1D3C"/>
    <w:rsid w:val="002F3C9D"/>
    <w:rsid w:val="00722973"/>
    <w:rsid w:val="00F33E8D"/>
    <w:rsid w:val="019AE502"/>
    <w:rsid w:val="01BF6C7C"/>
    <w:rsid w:val="02B465B5"/>
    <w:rsid w:val="035C6A7B"/>
    <w:rsid w:val="0370A3FD"/>
    <w:rsid w:val="040783B7"/>
    <w:rsid w:val="0539761B"/>
    <w:rsid w:val="05819290"/>
    <w:rsid w:val="05CAD516"/>
    <w:rsid w:val="067FFB18"/>
    <w:rsid w:val="07E30A4B"/>
    <w:rsid w:val="07E5B80C"/>
    <w:rsid w:val="07EC5233"/>
    <w:rsid w:val="092B503C"/>
    <w:rsid w:val="09A43C94"/>
    <w:rsid w:val="0A224179"/>
    <w:rsid w:val="0B1DC1E2"/>
    <w:rsid w:val="0B201DA5"/>
    <w:rsid w:val="0BE13B5B"/>
    <w:rsid w:val="0BEEA654"/>
    <w:rsid w:val="0EDF157C"/>
    <w:rsid w:val="101BD140"/>
    <w:rsid w:val="107F7E6D"/>
    <w:rsid w:val="111C3D8F"/>
    <w:rsid w:val="1181C198"/>
    <w:rsid w:val="141BA49F"/>
    <w:rsid w:val="14B6073B"/>
    <w:rsid w:val="14EB4A9B"/>
    <w:rsid w:val="15F3E892"/>
    <w:rsid w:val="16EECC0F"/>
    <w:rsid w:val="18241936"/>
    <w:rsid w:val="1832DAA1"/>
    <w:rsid w:val="18DC11DD"/>
    <w:rsid w:val="196DFCC5"/>
    <w:rsid w:val="19B3696C"/>
    <w:rsid w:val="1A02A262"/>
    <w:rsid w:val="1A7DDD73"/>
    <w:rsid w:val="1B0862B4"/>
    <w:rsid w:val="1B22D5ED"/>
    <w:rsid w:val="1B5B1D3F"/>
    <w:rsid w:val="1BE38CB5"/>
    <w:rsid w:val="1D3F0C06"/>
    <w:rsid w:val="1FA670B3"/>
    <w:rsid w:val="20B27B4E"/>
    <w:rsid w:val="2137D2B4"/>
    <w:rsid w:val="219B1D3C"/>
    <w:rsid w:val="227C7298"/>
    <w:rsid w:val="228A3A09"/>
    <w:rsid w:val="235A9A22"/>
    <w:rsid w:val="24CC8410"/>
    <w:rsid w:val="26002996"/>
    <w:rsid w:val="26D20BFC"/>
    <w:rsid w:val="27053B35"/>
    <w:rsid w:val="27085710"/>
    <w:rsid w:val="27A8BFF5"/>
    <w:rsid w:val="28CA1A32"/>
    <w:rsid w:val="2B66BAA6"/>
    <w:rsid w:val="2B7702DC"/>
    <w:rsid w:val="2C154158"/>
    <w:rsid w:val="2C232603"/>
    <w:rsid w:val="2EDB0A52"/>
    <w:rsid w:val="3005C566"/>
    <w:rsid w:val="30A5CD49"/>
    <w:rsid w:val="30E698EB"/>
    <w:rsid w:val="339BCD4F"/>
    <w:rsid w:val="34268B9C"/>
    <w:rsid w:val="34B17B34"/>
    <w:rsid w:val="3516A3A3"/>
    <w:rsid w:val="3530B13E"/>
    <w:rsid w:val="35B7C8B7"/>
    <w:rsid w:val="35E63F5F"/>
    <w:rsid w:val="368F3252"/>
    <w:rsid w:val="36A06AD2"/>
    <w:rsid w:val="36FBB565"/>
    <w:rsid w:val="378DCAC6"/>
    <w:rsid w:val="38C86BA7"/>
    <w:rsid w:val="3905FCF5"/>
    <w:rsid w:val="3A0E64B2"/>
    <w:rsid w:val="3A9A3065"/>
    <w:rsid w:val="3ADB6AEC"/>
    <w:rsid w:val="3C554361"/>
    <w:rsid w:val="3EEEA96E"/>
    <w:rsid w:val="3F59D754"/>
    <w:rsid w:val="428FD0A3"/>
    <w:rsid w:val="4401160E"/>
    <w:rsid w:val="442FDE6A"/>
    <w:rsid w:val="45985B11"/>
    <w:rsid w:val="45AEC81D"/>
    <w:rsid w:val="45EF20EB"/>
    <w:rsid w:val="47F0C47A"/>
    <w:rsid w:val="484BC00B"/>
    <w:rsid w:val="48AE32CC"/>
    <w:rsid w:val="48DFAA6E"/>
    <w:rsid w:val="48FA8D32"/>
    <w:rsid w:val="490C4199"/>
    <w:rsid w:val="497E6D99"/>
    <w:rsid w:val="4A08C82A"/>
    <w:rsid w:val="4C31E5C4"/>
    <w:rsid w:val="4C837BDF"/>
    <w:rsid w:val="4CC1BD43"/>
    <w:rsid w:val="4CE4F6DF"/>
    <w:rsid w:val="4E5B20E0"/>
    <w:rsid w:val="4EE7587C"/>
    <w:rsid w:val="5035FBA0"/>
    <w:rsid w:val="50EA1F38"/>
    <w:rsid w:val="52ACBD63"/>
    <w:rsid w:val="5372843D"/>
    <w:rsid w:val="55186A1C"/>
    <w:rsid w:val="55D0EFBC"/>
    <w:rsid w:val="560CECA0"/>
    <w:rsid w:val="56143246"/>
    <w:rsid w:val="5631BFAB"/>
    <w:rsid w:val="58D88541"/>
    <w:rsid w:val="5A1574A6"/>
    <w:rsid w:val="5A87A8C1"/>
    <w:rsid w:val="5CC0DA6D"/>
    <w:rsid w:val="5D126851"/>
    <w:rsid w:val="61E96314"/>
    <w:rsid w:val="62C997A1"/>
    <w:rsid w:val="6445284C"/>
    <w:rsid w:val="64593BF7"/>
    <w:rsid w:val="658BE53F"/>
    <w:rsid w:val="65C309E2"/>
    <w:rsid w:val="65F3174A"/>
    <w:rsid w:val="6675A7A8"/>
    <w:rsid w:val="67529F0F"/>
    <w:rsid w:val="67DBF181"/>
    <w:rsid w:val="69A6F1AB"/>
    <w:rsid w:val="6A628CF2"/>
    <w:rsid w:val="6A72EF6A"/>
    <w:rsid w:val="6C27D684"/>
    <w:rsid w:val="6C5235F2"/>
    <w:rsid w:val="6C7460BD"/>
    <w:rsid w:val="6CCDE901"/>
    <w:rsid w:val="6D090513"/>
    <w:rsid w:val="6D5D7310"/>
    <w:rsid w:val="6D788F1F"/>
    <w:rsid w:val="6DFFF6CB"/>
    <w:rsid w:val="6FCD69B2"/>
    <w:rsid w:val="709C7DB3"/>
    <w:rsid w:val="70B63C29"/>
    <w:rsid w:val="70C2B3AA"/>
    <w:rsid w:val="71018705"/>
    <w:rsid w:val="71052883"/>
    <w:rsid w:val="71D92B95"/>
    <w:rsid w:val="71FF8055"/>
    <w:rsid w:val="7359BCB8"/>
    <w:rsid w:val="755308A3"/>
    <w:rsid w:val="75BDAC70"/>
    <w:rsid w:val="75FF2060"/>
    <w:rsid w:val="77D1548B"/>
    <w:rsid w:val="789E1CDA"/>
    <w:rsid w:val="7A5EE70F"/>
    <w:rsid w:val="7B2D8ED5"/>
    <w:rsid w:val="7B734D26"/>
    <w:rsid w:val="7BC54750"/>
    <w:rsid w:val="7C140143"/>
    <w:rsid w:val="7C34DABF"/>
    <w:rsid w:val="7D041E3F"/>
    <w:rsid w:val="7D238ED0"/>
    <w:rsid w:val="7D6B592E"/>
    <w:rsid w:val="7F657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B1D3C"/>
  <w15:chartTrackingRefBased/>
  <w15:docId w15:val="{4A004BA4-9D24-47DB-963B-FAAB8F30DA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80" w:line="288" w:lineRule="auto"/>
    </w:pPr>
    <w:rPr>
      <w:rFonts w:ascii="Arial" w:hAnsi="Arial"/>
      <w:color w:val="3B3B3B"/>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customStyle="1" w:styleId="Title">
    <w:name w:val="Title"/>
    <w:pPr>
      <w:spacing w:after="160"/>
    </w:pPr>
    <w:rPr>
      <w:rFonts w:ascii="Arial" w:hAnsi="Arial"/>
      <w:b/>
      <w:color w:val="550060"/>
      <w:sz w:val="40"/>
    </w:rPr>
  </w:style>
  <w:style w:type="paragraph" w:customStyle="1" w:styleId="Subtitle">
    <w:name w:val="Subtitle"/>
    <w:rPr>
      <w:rFonts w:ascii="Arial" w:hAnsi="Arial"/>
      <w:color w:val="707070"/>
      <w:sz w:val="22"/>
    </w:rPr>
  </w:style>
  <w:style w:type="paragraph" w:customStyle="1" w:styleId="Heading1">
    <w:name w:val="heading 1"/>
    <w:pPr>
      <w:keepNext/>
      <w:spacing w:before="200" w:after="120"/>
    </w:pPr>
    <w:rPr>
      <w:rFonts w:ascii="Arial" w:hAnsi="Arial"/>
      <w:b/>
      <w:color w:val="550060"/>
      <w:sz w:val="28"/>
    </w:rPr>
  </w:style>
  <w:style w:type="paragraph" w:customStyle="1" w:styleId="Heading2">
    <w:name w:val="heading 2"/>
    <w:pPr>
      <w:keepNext/>
      <w:spacing w:before="160" w:after="80"/>
    </w:pPr>
    <w:rPr>
      <w:rFonts w:ascii="Arial" w:hAnsi="Arial"/>
      <w:b/>
      <w:color w:val="C60A7B"/>
      <w:sz w:val="24"/>
    </w:rPr>
  </w:style>
  <w:style w:type="paragraph" w:customStyle="1" w:styleId="Heading3">
    <w:name w:val="heading 3"/>
    <w:pPr>
      <w:keepNext/>
      <w:spacing w:before="120" w:after="60"/>
    </w:pPr>
    <w:rPr>
      <w:rFonts w:ascii="Arial" w:hAnsi="Arial"/>
      <w:b/>
      <w:color w:val="3B3B3B"/>
      <w:sz w:val="22"/>
    </w:rPr>
  </w:style>
  <w:style w:type="paragraph" w:customStyle="1" w:styleId="ListBullet">
    <w:name w:val="List Bullet"/>
    <w:pPr>
      <w:spacing w:after="40" w:line="276" w:lineRule="auto"/>
    </w:pPr>
    <w:rPr>
      <w:rFonts w:ascii="Arial" w:hAnsi="Arial"/>
      <w:sz w:val="21"/>
    </w:rPr>
  </w:style>
  <w:style w:type="paragraph" w:customStyle="1" w:styleId="ListNumber">
    <w:name w:val="List Number"/>
    <w:pPr>
      <w:spacing w:after="40" w:line="276"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0ef492e97ac34c53" Type="http://schemas.openxmlformats.org/officeDocument/2006/relationships/header" Target="header.xml"/><Relationship Id="R1e5de986372b4433" Type="http://schemas.openxmlformats.org/officeDocument/2006/relationships/footer" Target="footer.xml"/><Relationship Id="R867b28c5a9cd48bf" Type="http://schemas.openxmlformats.org/officeDocument/2006/relationships/numbering" Target="numbering.xml"/><Relationship Id="R9565828c7fb54d06"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1554e5f296e542d2"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b29c85304f264645" Type="http://schemas.openxmlformats.org/officeDocument/2006/relationships/hyperlink" Target="https://contentkueche-my.sharepoint.com/:w:/r/personal/sarah_loderer_contentkueche_de/_layouts/15/Doc.aspx?sourcedoc=%7B24a37b00-5449-4f90-879c-2d404079bea9%7D&amp;action=edit&amp;wdPreviousSession=96d3a1b0-ef51-9458-f103-2ed12ff0066d" TargetMode="External"/><Relationship Id="R9e356d2d20414c31" Type="http://schemas.openxmlformats.org/officeDocument/2006/relationships/hyperlink" Target="mailto:invoice@contentkueche.de" TargetMode="External"/><Relationship Id="R8ab09d76c8a04c8f" Type="http://schemas.openxmlformats.org/officeDocument/2006/relationships/image" Target="../media/image2.png"/><Relationship Id="R0058f56995f84733" Type="http://schemas.openxmlformats.org/officeDocument/2006/relationships/image" Target="../media/image3.png"/><Relationship Id="Rbe54518979d94449" Type="http://schemas.openxmlformats.org/officeDocument/2006/relationships/image" Target="../media/image4.png"/><Relationship Id="R4cd823582438482f" Type="http://schemas.openxmlformats.org/officeDocument/2006/relationships/image" Target="../media/image5.png"/><Relationship Id="rId620691723" Type="http://schemas.openxmlformats.org/officeDocument/2006/relationships/image" Target="../media/image6.png"/><Relationship Id="rId1458971187" Type="http://schemas.openxmlformats.org/officeDocument/2006/relationships/image" Target="../media/image7.png"/><Relationship Id="Rdc06f962f6174fe3" Type="http://schemas.openxmlformats.org/officeDocument/2006/relationships/hyperlink" Target="https://contentkueche.sharepoint.com/:b:/s/contentkueche/EZCwkTnhTlFNjLwNCKxatnoBAWw3RwNvjhxqv9BYb1hFsQ?e=IMsoFK" TargetMode="External"/></Relationships>
</file>

<file path=word/_rels/header.xml.rels><?xml version='1.0' encoding='UTF-8' standalone='yes'?>
<Relationships xmlns="http://schemas.openxmlformats.org/package/2006/relationships"><Relationship Id="R969f2bbaa2f3475c" Type="http://schemas.openxmlformats.org/officeDocument/2006/relationships/image" Target="../media/image.png"/></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FCA6CF3DD80142B911F7593B11EA77" ma:contentTypeVersion="16" ma:contentTypeDescription="Ein neues Dokument erstellen." ma:contentTypeScope="" ma:versionID="68796f86ff1194f16e8751f53627371e">
  <xsd:schema xmlns:xsd="http://www.w3.org/2001/XMLSchema" xmlns:xs="http://www.w3.org/2001/XMLSchema" xmlns:p="http://schemas.microsoft.com/office/2006/metadata/properties" xmlns:ns2="0e74a0ad-f44d-49b8-9a38-e8016d9d75d7" xmlns:ns3="a9f90c52-b20d-4634-9e59-a3c5801722c9" targetNamespace="http://schemas.microsoft.com/office/2006/metadata/properties" ma:root="true" ma:fieldsID="a0dbbaa2b8ace8a73990de3643c994aa" ns2:_="" ns3:_="">
    <xsd:import namespace="0e74a0ad-f44d-49b8-9a38-e8016d9d75d7"/>
    <xsd:import namespace="a9f90c52-b20d-4634-9e59-a3c5801722c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4a0ad-f44d-49b8-9a38-e8016d9d75d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90c52-b20d-4634-9e59-a3c5801722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fb2e15f-4caf-4a01-81df-fdaf272164d7}" ma:internalName="TaxCatchAll" ma:showField="CatchAllData" ma:web="a9f90c52-b20d-4634-9e59-a3c5801722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4a0ad-f44d-49b8-9a38-e8016d9d75d7">
      <Terms xmlns="http://schemas.microsoft.com/office/infopath/2007/PartnerControls"/>
    </lcf76f155ced4ddcb4097134ff3c332f>
    <TaxCatchAll xmlns="a9f90c52-b20d-4634-9e59-a3c5801722c9" xsi:nil="true"/>
  </documentManagement>
</p:properties>
</file>

<file path=customXml/itemProps1.xml><?xml version="1.0" encoding="utf-8"?>
<ds:datastoreItem xmlns:ds="http://schemas.openxmlformats.org/officeDocument/2006/customXml" ds:itemID="{F12500A5-9430-4ED0-BCC8-3D5231F93933}"/>
</file>

<file path=customXml/itemProps2.xml><?xml version="1.0" encoding="utf-8"?>
<ds:datastoreItem xmlns:ds="http://schemas.openxmlformats.org/officeDocument/2006/customXml" ds:itemID="{9369604F-156F-4A9B-B301-6BF21B8CE92C}"/>
</file>

<file path=customXml/itemProps3.xml><?xml version="1.0" encoding="utf-8"?>
<ds:datastoreItem xmlns:ds="http://schemas.openxmlformats.org/officeDocument/2006/customXml" ds:itemID="{375915FC-A1CA-4D48-AF47-918149A624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Loderer</dc:creator>
  <keywords/>
  <dc:description/>
  <lastModifiedBy>Sarah Loderer</lastModifiedBy>
  <dcterms:created xsi:type="dcterms:W3CDTF">2024-10-21T14:23:27.0000000Z</dcterms:created>
  <dcterms:modified xsi:type="dcterms:W3CDTF">2026-01-19T09:41:42.1096937Z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0x010100E1FCA6CF3DD80142B911F7593B11EA77</vt:lpwstr>
  </property>
  <property fmtid="{D5CDD505-2E9C-101B-9397-08002B2CF9AE}" pid="3" name="MediaServiceImageTags">
    <vt:lpwstr/>
  </property>
</Properties>
</file>